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CD6AC" w14:textId="77777777" w:rsidR="007D0E28" w:rsidRPr="0038080E" w:rsidRDefault="007D0E28" w:rsidP="0038080E">
      <w:pPr>
        <w:pStyle w:val="Heading1"/>
        <w:contextualSpacing/>
        <w:rPr>
          <w:rFonts w:ascii="Tahoma" w:hAnsi="Tahoma"/>
          <w:sz w:val="8"/>
          <w:szCs w:val="8"/>
        </w:rPr>
      </w:pPr>
    </w:p>
    <w:p w14:paraId="55747F5E" w14:textId="77777777" w:rsidR="007D0E28" w:rsidRPr="0038080E" w:rsidRDefault="007D0E28"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71470ECA" w14:textId="77777777" w:rsidR="007D0E28" w:rsidRPr="0038080E" w:rsidRDefault="007D0E28"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7th Annual</w:t>
      </w:r>
      <w:r w:rsidRPr="0038080E">
        <w:rPr>
          <w:rFonts w:asciiTheme="minorHAnsi" w:hAnsiTheme="minorHAnsi" w:cstheme="minorHAnsi"/>
          <w:sz w:val="32"/>
          <w:szCs w:val="32"/>
        </w:rPr>
        <w:t xml:space="preserve"> UTAAP Southern Utah Regional Conference</w:t>
      </w:r>
    </w:p>
    <w:p w14:paraId="4E0F4CD3" w14:textId="77777777" w:rsidR="007D0E28" w:rsidRPr="0038080E" w:rsidRDefault="007D0E28"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September 7,</w:t>
      </w:r>
      <w:r w:rsidRPr="0038080E">
        <w:rPr>
          <w:rFonts w:asciiTheme="minorHAnsi" w:hAnsiTheme="minorHAnsi" w:cstheme="minorHAnsi"/>
          <w:sz w:val="32"/>
          <w:szCs w:val="32"/>
        </w:rPr>
        <w:t xml:space="preserve"> 2024</w:t>
      </w:r>
    </w:p>
    <w:p w14:paraId="3C0314CB" w14:textId="77777777" w:rsidR="007D0E28" w:rsidRPr="0038080E" w:rsidRDefault="007D0E28"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 xml:space="preserve">SUU, </w:t>
      </w:r>
      <w:r w:rsidRPr="0038080E">
        <w:rPr>
          <w:rFonts w:asciiTheme="minorHAnsi" w:hAnsiTheme="minorHAnsi" w:cstheme="minorHAnsi"/>
          <w:sz w:val="32"/>
          <w:szCs w:val="32"/>
        </w:rPr>
        <w:t>Hunter Conference Center, Shooting Star Room, Lower Level, 351 W. University Blvd, Cedar City, Utah</w:t>
      </w:r>
    </w:p>
    <w:p w14:paraId="5D4176ED" w14:textId="77777777" w:rsidR="007D0E28" w:rsidRPr="00741077" w:rsidRDefault="007D0E28">
      <w:pPr>
        <w:spacing w:before="13" w:line="280" w:lineRule="exact"/>
        <w:rPr>
          <w:sz w:val="28"/>
          <w:szCs w:val="28"/>
        </w:rPr>
      </w:pPr>
    </w:p>
    <w:p w14:paraId="337C515E" w14:textId="77777777" w:rsidR="007D0E28" w:rsidRDefault="007D0E28" w:rsidP="00C060DB">
      <w:pPr>
        <w:pStyle w:val="BodyText"/>
        <w:ind w:left="360" w:right="663"/>
      </w:pPr>
    </w:p>
    <w:p w14:paraId="434A52DF" w14:textId="77777777" w:rsidR="007D0E28" w:rsidRPr="004E1F8E" w:rsidRDefault="007D0E28" w:rsidP="0003189D">
      <w:pPr>
        <w:jc w:val="center"/>
        <w:rPr>
          <w:rFonts w:ascii="Calibri" w:hAnsi="Calibri" w:cs="Calibri"/>
          <w:sz w:val="28"/>
          <w:szCs w:val="28"/>
        </w:rPr>
      </w:pPr>
      <w:r w:rsidRPr="004E1F8E">
        <w:rPr>
          <w:rFonts w:ascii="Calibri" w:hAnsi="Calibri" w:cs="Calibri"/>
          <w:sz w:val="28"/>
          <w:szCs w:val="28"/>
        </w:rPr>
        <w:t xml:space="preserve">SPEAKER &amp; PLANNING </w:t>
      </w:r>
      <w:r w:rsidRPr="004E1F8E">
        <w:rPr>
          <w:rFonts w:ascii="Calibri" w:hAnsi="Calibri" w:cs="Calibri"/>
          <w:sz w:val="28"/>
          <w:szCs w:val="28"/>
        </w:rPr>
        <w:t>COMMITTEE DISCLOSURE</w:t>
      </w:r>
    </w:p>
    <w:p w14:paraId="155A190B" w14:textId="77777777" w:rsidR="007D0E28" w:rsidRPr="004E1F8E" w:rsidRDefault="007D0E28" w:rsidP="0003189D">
      <w:pPr>
        <w:jc w:val="center"/>
        <w:rPr>
          <w:rFonts w:ascii="Calibri" w:hAnsi="Calibri" w:cs="Calibri"/>
          <w:b/>
          <w:sz w:val="16"/>
          <w:szCs w:val="16"/>
        </w:rPr>
      </w:pPr>
    </w:p>
    <w:p w14:paraId="3C7F8148" w14:textId="77777777" w:rsidR="007D0E28" w:rsidRPr="004E1F8E" w:rsidRDefault="007D0E28"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028F692C" w14:textId="77777777" w:rsidR="007D0E28" w:rsidRDefault="007D0E28" w:rsidP="002B6BA7">
      <w:pPr>
        <w:jc w:val="both"/>
        <w:rPr>
          <w:rFonts w:ascii="Calibri" w:hAnsi="Calibri" w:cs="Calibri"/>
          <w:sz w:val="20"/>
          <w:szCs w:val="20"/>
        </w:rPr>
      </w:pPr>
    </w:p>
    <w:p w14:paraId="52C2716F" w14:textId="77777777" w:rsidR="007D0E28" w:rsidRDefault="007D0E28" w:rsidP="002B6BA7">
      <w:pPr>
        <w:jc w:val="both"/>
        <w:rPr>
          <w:rFonts w:ascii="Calibri" w:hAnsi="Calibri" w:cs="Calibri"/>
          <w:sz w:val="20"/>
          <w:szCs w:val="20"/>
        </w:rPr>
      </w:pPr>
      <w:r w:rsidRPr="007148B3">
        <w:rPr>
          <w:rFonts w:ascii="Calibri" w:hAnsi="Calibri" w:cs="Calibri"/>
          <w:sz w:val="20"/>
          <w:szCs w:val="20"/>
        </w:rPr>
        <w:t>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w:t>
      </w:r>
      <w:r w:rsidRPr="007148B3">
        <w:rPr>
          <w:rFonts w:ascii="Calibri" w:hAnsi="Calibri" w:cs="Calibri"/>
          <w:sz w:val="20"/>
          <w:szCs w:val="20"/>
        </w:rPr>
        <w:t xml:space="preserve">n below. </w:t>
      </w:r>
    </w:p>
    <w:p w14:paraId="08868EDD" w14:textId="77777777" w:rsidR="007D0E28" w:rsidRDefault="007D0E28" w:rsidP="002B6BA7">
      <w:pPr>
        <w:jc w:val="both"/>
        <w:rPr>
          <w:rFonts w:ascii="Calibri" w:hAnsi="Calibri" w:cs="Calibri"/>
          <w:sz w:val="20"/>
          <w:szCs w:val="20"/>
        </w:rPr>
      </w:pPr>
    </w:p>
    <w:p w14:paraId="2D236F1B" w14:textId="77777777" w:rsidR="007D0E28" w:rsidRDefault="007D0E28"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Practitioner, Other, Other Medical Personnel, Physician Assistant</w:t>
      </w:r>
    </w:p>
    <w:p w14:paraId="436A28D6" w14:textId="77777777" w:rsidR="007D0E28" w:rsidRDefault="007D0E28" w:rsidP="002B6BA7">
      <w:pPr>
        <w:jc w:val="both"/>
        <w:rPr>
          <w:rFonts w:ascii="Calibri" w:hAnsi="Calibri" w:cs="Calibri"/>
          <w:sz w:val="20"/>
          <w:szCs w:val="20"/>
        </w:rPr>
      </w:pPr>
    </w:p>
    <w:p w14:paraId="5AAD8543" w14:textId="77777777" w:rsidR="007D0E28" w:rsidRDefault="007D0E28" w:rsidP="002B6BA7">
      <w:pPr>
        <w:spacing w:before="9" w:line="260" w:lineRule="exact"/>
        <w:rPr>
          <w:rFonts w:ascii="Calibri" w:hAnsi="Calibri" w:cs="Calibri"/>
          <w:b/>
          <w:bCs/>
        </w:rPr>
      </w:pPr>
      <w:r>
        <w:rPr>
          <w:rFonts w:ascii="Calibri" w:hAnsi="Calibri" w:cs="Calibri"/>
          <w:b/>
          <w:bCs/>
        </w:rPr>
        <w:t>Planner and Faculty Disclosures:</w:t>
      </w:r>
    </w:p>
    <w:p w14:paraId="4DDE4E48" w14:textId="77777777" w:rsidR="007D0E28" w:rsidRPr="00741077" w:rsidRDefault="007D0E28" w:rsidP="002B6BA7">
      <w:pPr>
        <w:spacing w:before="9" w:line="260" w:lineRule="exact"/>
        <w:rPr>
          <w:sz w:val="26"/>
          <w:szCs w:val="26"/>
        </w:rPr>
      </w:pPr>
    </w:p>
    <w:p w14:paraId="646DEC0F" w14:textId="77777777" w:rsidR="007D0E28" w:rsidRPr="00E76912" w:rsidRDefault="007D0E28"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6805D55C" w14:textId="77777777" w:rsidR="007D0E28" w:rsidRPr="00E76912" w:rsidRDefault="007D0E28" w:rsidP="002B6BA7">
      <w:pPr>
        <w:pStyle w:val="BodyText"/>
        <w:ind w:left="118" w:right="101"/>
        <w:rPr>
          <w:rFonts w:eastAsiaTheme="minorHAnsi" w:cs="Calibri"/>
          <w:sz w:val="20"/>
          <w:szCs w:val="20"/>
        </w:rPr>
      </w:pPr>
    </w:p>
    <w:p w14:paraId="42D7296D" w14:textId="77777777" w:rsidR="007D0E28" w:rsidRPr="00E76912" w:rsidRDefault="007D0E28"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535D0FDD" w14:textId="77777777" w:rsidR="007D0E28" w:rsidRPr="00E76912" w:rsidRDefault="007D0E28"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6A3BAD" w14:paraId="5437BCA0"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34368640" w14:textId="77777777" w:rsidR="006A3BAD" w:rsidRDefault="007D0E28">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2AC90D7C" w14:textId="77777777" w:rsidR="006A3BAD" w:rsidRDefault="007D0E28">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7E17056A" w14:textId="77777777" w:rsidR="006A3BAD" w:rsidRDefault="007D0E28">
            <w:pPr>
              <w:jc w:val="center"/>
            </w:pPr>
            <w:r>
              <w:rPr>
                <w:b/>
              </w:rPr>
              <w:t xml:space="preserve">Nature of Relationship(s) / Name of </w:t>
            </w:r>
            <w:r>
              <w:rPr>
                <w:b/>
              </w:rPr>
              <w:t>Ineligible Company(s)</w:t>
            </w:r>
          </w:p>
        </w:tc>
      </w:tr>
      <w:tr w:rsidR="006A3BAD" w14:paraId="483EBD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94C2F8C" w14:textId="77777777" w:rsidR="006A3BAD" w:rsidRDefault="007D0E28">
            <w:r>
              <w:t>Ellie Brownstein, MD, FAAP</w:t>
            </w:r>
          </w:p>
        </w:tc>
        <w:tc>
          <w:tcPr>
            <w:tcW w:w="0" w:type="auto"/>
            <w:tcBorders>
              <w:top w:val="outset" w:sz="6" w:space="0" w:color="auto"/>
              <w:left w:val="outset" w:sz="6" w:space="0" w:color="auto"/>
              <w:bottom w:val="outset" w:sz="6" w:space="0" w:color="auto"/>
              <w:right w:val="outset" w:sz="6" w:space="0" w:color="auto"/>
            </w:tcBorders>
            <w:vAlign w:val="center"/>
          </w:tcPr>
          <w:p w14:paraId="7AC8FD80" w14:textId="77777777" w:rsidR="006A3BAD" w:rsidRDefault="007D0E28">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0BB20A38" w14:textId="77777777" w:rsidR="006A3BAD" w:rsidRDefault="007D0E28">
            <w:r>
              <w:t>Nothing to disclose - 03/15/2024</w:t>
            </w:r>
          </w:p>
        </w:tc>
      </w:tr>
      <w:tr w:rsidR="006A3BAD" w14:paraId="69B5E2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9F578C1" w14:textId="77777777" w:rsidR="006A3BAD" w:rsidRDefault="007D0E28">
            <w:r>
              <w:t>Alisa Stoddard, BS</w:t>
            </w:r>
          </w:p>
        </w:tc>
        <w:tc>
          <w:tcPr>
            <w:tcW w:w="0" w:type="auto"/>
            <w:tcBorders>
              <w:top w:val="outset" w:sz="6" w:space="0" w:color="auto"/>
              <w:left w:val="outset" w:sz="6" w:space="0" w:color="auto"/>
              <w:bottom w:val="outset" w:sz="6" w:space="0" w:color="auto"/>
              <w:right w:val="outset" w:sz="6" w:space="0" w:color="auto"/>
            </w:tcBorders>
            <w:vAlign w:val="center"/>
          </w:tcPr>
          <w:p w14:paraId="49265782" w14:textId="77777777" w:rsidR="006A3BAD" w:rsidRDefault="007D0E28">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EF7F66F" w14:textId="77777777" w:rsidR="006A3BAD" w:rsidRDefault="007D0E28">
            <w:r>
              <w:t>Nothing to disclose - 04/26/2024</w:t>
            </w:r>
          </w:p>
        </w:tc>
      </w:tr>
      <w:tr w:rsidR="006A3BAD" w14:paraId="63B3FE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CCBFEF" w14:textId="77777777" w:rsidR="006A3BAD" w:rsidRDefault="007D0E28">
            <w:r>
              <w:t>Jessica L Stahl, MD, MS-Epi</w:t>
            </w:r>
          </w:p>
        </w:tc>
        <w:tc>
          <w:tcPr>
            <w:tcW w:w="0" w:type="auto"/>
            <w:tcBorders>
              <w:top w:val="outset" w:sz="6" w:space="0" w:color="auto"/>
              <w:left w:val="outset" w:sz="6" w:space="0" w:color="auto"/>
              <w:bottom w:val="outset" w:sz="6" w:space="0" w:color="auto"/>
              <w:right w:val="outset" w:sz="6" w:space="0" w:color="auto"/>
            </w:tcBorders>
            <w:vAlign w:val="center"/>
          </w:tcPr>
          <w:p w14:paraId="26EBD52B" w14:textId="77777777" w:rsidR="006A3BAD" w:rsidRDefault="007D0E28">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05DA5F2" w14:textId="77777777" w:rsidR="006A3BAD" w:rsidRDefault="007D0E28">
            <w:r>
              <w:t xml:space="preserve">Nothing to </w:t>
            </w:r>
            <w:r>
              <w:t>disclose - 08/29/2024</w:t>
            </w:r>
          </w:p>
        </w:tc>
      </w:tr>
      <w:tr w:rsidR="006A3BAD" w14:paraId="4510CF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428F56" w14:textId="77777777" w:rsidR="006A3BAD" w:rsidRDefault="007D0E28">
            <w:r>
              <w:t>Nathan Malan, MPH</w:t>
            </w:r>
          </w:p>
        </w:tc>
        <w:tc>
          <w:tcPr>
            <w:tcW w:w="0" w:type="auto"/>
            <w:tcBorders>
              <w:top w:val="outset" w:sz="6" w:space="0" w:color="auto"/>
              <w:left w:val="outset" w:sz="6" w:space="0" w:color="auto"/>
              <w:bottom w:val="outset" w:sz="6" w:space="0" w:color="auto"/>
              <w:right w:val="outset" w:sz="6" w:space="0" w:color="auto"/>
            </w:tcBorders>
            <w:vAlign w:val="center"/>
          </w:tcPr>
          <w:p w14:paraId="138184B3" w14:textId="77777777" w:rsidR="006A3BAD" w:rsidRDefault="007D0E28">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ACC922E" w14:textId="77777777" w:rsidR="006A3BAD" w:rsidRDefault="007D0E28">
            <w:r>
              <w:t>Nothing to disclose - 08/12/2024</w:t>
            </w:r>
          </w:p>
        </w:tc>
      </w:tr>
      <w:tr w:rsidR="006A3BAD" w14:paraId="502151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0FBAEC2" w14:textId="77777777" w:rsidR="006A3BAD" w:rsidRDefault="007D0E28">
            <w:r>
              <w:t>Katie Tsukahara, MD</w:t>
            </w:r>
          </w:p>
        </w:tc>
        <w:tc>
          <w:tcPr>
            <w:tcW w:w="0" w:type="auto"/>
            <w:tcBorders>
              <w:top w:val="outset" w:sz="6" w:space="0" w:color="auto"/>
              <w:left w:val="outset" w:sz="6" w:space="0" w:color="auto"/>
              <w:bottom w:val="outset" w:sz="6" w:space="0" w:color="auto"/>
              <w:right w:val="outset" w:sz="6" w:space="0" w:color="auto"/>
            </w:tcBorders>
            <w:vAlign w:val="center"/>
          </w:tcPr>
          <w:p w14:paraId="426C27EF" w14:textId="77777777" w:rsidR="006A3BAD" w:rsidRDefault="007D0E28">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A44E566" w14:textId="77777777" w:rsidR="006A3BAD" w:rsidRDefault="007D0E28">
            <w:r>
              <w:t>Nothing to disclose - 05/08/2024</w:t>
            </w:r>
          </w:p>
        </w:tc>
      </w:tr>
      <w:tr w:rsidR="006A3BAD" w14:paraId="736D7D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937AE64" w14:textId="77777777" w:rsidR="006A3BAD" w:rsidRDefault="007D0E28">
            <w:r>
              <w:t>Heidi Vawdrey, DNP, APRN, FNP-C</w:t>
            </w:r>
          </w:p>
        </w:tc>
        <w:tc>
          <w:tcPr>
            <w:tcW w:w="0" w:type="auto"/>
            <w:tcBorders>
              <w:top w:val="outset" w:sz="6" w:space="0" w:color="auto"/>
              <w:left w:val="outset" w:sz="6" w:space="0" w:color="auto"/>
              <w:bottom w:val="outset" w:sz="6" w:space="0" w:color="auto"/>
              <w:right w:val="outset" w:sz="6" w:space="0" w:color="auto"/>
            </w:tcBorders>
            <w:vAlign w:val="center"/>
          </w:tcPr>
          <w:p w14:paraId="582A0280" w14:textId="77777777" w:rsidR="006A3BAD" w:rsidRDefault="007D0E28">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EAECFF9" w14:textId="77777777" w:rsidR="006A3BAD" w:rsidRDefault="007D0E28">
            <w:r>
              <w:t>Nothing to disclose - 07/24/2024</w:t>
            </w:r>
          </w:p>
        </w:tc>
      </w:tr>
    </w:tbl>
    <w:p w14:paraId="4A7DA648" w14:textId="77777777" w:rsidR="007D0E28" w:rsidRPr="00E76912" w:rsidRDefault="007D0E28">
      <w:pPr>
        <w:spacing w:after="280" w:afterAutospacing="1"/>
        <w:rPr>
          <w:rFonts w:ascii="Calibri" w:hAnsi="Calibri" w:cs="Calibri"/>
          <w:sz w:val="20"/>
          <w:szCs w:val="20"/>
        </w:rPr>
      </w:pPr>
    </w:p>
    <w:p w14:paraId="51610447" w14:textId="77777777" w:rsidR="007D0E28" w:rsidRPr="00E76912" w:rsidRDefault="007D0E28" w:rsidP="002B6BA7">
      <w:pPr>
        <w:rPr>
          <w:rFonts w:ascii="Calibri" w:hAnsi="Calibri" w:cs="Calibri"/>
          <w:sz w:val="20"/>
          <w:szCs w:val="20"/>
        </w:rPr>
      </w:pPr>
    </w:p>
    <w:p w14:paraId="11EDF5C2" w14:textId="77777777" w:rsidR="007D0E28" w:rsidRDefault="007D0E28" w:rsidP="0003189D">
      <w:pPr>
        <w:ind w:firstLine="180"/>
        <w:contextualSpacing/>
        <w:rPr>
          <w:rFonts w:ascii="Calibri" w:hAnsi="Calibri" w:cs="Calibri"/>
          <w:sz w:val="20"/>
          <w:szCs w:val="20"/>
        </w:rPr>
      </w:pPr>
      <w:r w:rsidRPr="00E76912">
        <w:rPr>
          <w:rFonts w:ascii="Calibri" w:hAnsi="Calibri" w:cs="Calibri"/>
          <w:sz w:val="20"/>
          <w:szCs w:val="20"/>
        </w:rPr>
        <w:t xml:space="preserve">All relevant financial </w:t>
      </w:r>
      <w:r w:rsidRPr="00E76912">
        <w:rPr>
          <w:rFonts w:ascii="Calibri" w:hAnsi="Calibri" w:cs="Calibri"/>
          <w:sz w:val="20"/>
          <w:szCs w:val="20"/>
        </w:rPr>
        <w:t>relationships have been mitigated.</w:t>
      </w:r>
    </w:p>
    <w:p w14:paraId="70F9BE68" w14:textId="77777777" w:rsidR="007D0E28" w:rsidRPr="0003189D" w:rsidRDefault="007D0E28" w:rsidP="0003189D">
      <w:pPr>
        <w:ind w:firstLine="180"/>
        <w:contextualSpacing/>
        <w:rPr>
          <w:rFonts w:cs="Calibri"/>
          <w:sz w:val="20"/>
          <w:szCs w:val="20"/>
        </w:rPr>
      </w:pPr>
    </w:p>
    <w:p w14:paraId="380A9F0E" w14:textId="77777777" w:rsidR="007D0E28" w:rsidRPr="00A335BB" w:rsidRDefault="007D0E28" w:rsidP="00C060DB">
      <w:pPr>
        <w:pStyle w:val="BodyText"/>
        <w:ind w:left="360" w:right="663"/>
      </w:pPr>
    </w:p>
    <w:p w14:paraId="0A84BEEC" w14:textId="77777777" w:rsidR="007D0E28" w:rsidRPr="00C16EB2" w:rsidRDefault="007D0E28" w:rsidP="00192944">
      <w:pPr>
        <w:pStyle w:val="Heading2"/>
        <w:ind w:left="140" w:right="663"/>
        <w:jc w:val="center"/>
        <w:rPr>
          <w:spacing w:val="-1"/>
          <w:sz w:val="32"/>
          <w:szCs w:val="32"/>
        </w:rPr>
      </w:pPr>
      <w:r w:rsidRPr="00C16EB2">
        <w:rPr>
          <w:spacing w:val="-1"/>
          <w:sz w:val="32"/>
          <w:szCs w:val="32"/>
        </w:rPr>
        <w:t>A</w:t>
      </w:r>
      <w:r w:rsidRPr="00C16EB2">
        <w:rPr>
          <w:spacing w:val="-1"/>
          <w:sz w:val="32"/>
          <w:szCs w:val="32"/>
        </w:rPr>
        <w:t>CCREDITATION</w:t>
      </w:r>
    </w:p>
    <w:p w14:paraId="219D0741" w14:textId="77777777" w:rsidR="007D0E28" w:rsidRPr="00192944" w:rsidRDefault="007D0E28" w:rsidP="00192944">
      <w:pPr>
        <w:pStyle w:val="Heading2"/>
        <w:ind w:left="140" w:right="663"/>
        <w:jc w:val="center"/>
        <w:rPr>
          <w:spacing w:val="-1"/>
          <w:sz w:val="20"/>
          <w:szCs w:val="20"/>
        </w:rPr>
      </w:pPr>
    </w:p>
    <w:p w14:paraId="202BFFD6" w14:textId="77777777" w:rsidR="007D0E28" w:rsidRPr="00741077" w:rsidRDefault="007D0E28"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4.00</w:instrText>
      </w:r>
      <w:r w:rsidRPr="00741077">
        <w:rPr>
          <w:b w:val="0"/>
          <w:bCs w:val="0"/>
          <w:spacing w:val="-1"/>
        </w:rPr>
        <w:instrText xml:space="preserve"> &gt; 0 "</w:instrText>
      </w:r>
    </w:p>
    <w:p w14:paraId="5302898F" w14:textId="77777777" w:rsidR="007D0E28" w:rsidRPr="00741077" w:rsidRDefault="007D0E28"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63E93075" wp14:editId="03F4D68B">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noProof/>
          <w:spacing w:val="-1"/>
        </w:rPr>
        <w:instrText>"Intermountain Health</w:instrText>
      </w:r>
      <w:r w:rsidRPr="00741077">
        <w:rPr>
          <w:rFonts w:ascii="Calibri" w:eastAsia="Calibri" w:hAnsi="Calibri"/>
          <w:spacing w:val="-1"/>
        </w:rPr>
        <w:instrText>, Intermountain Children's Services, Utah Chapter of the AAP, and the Department of Pediatrics at the University of Utah School of Medicine"</w:instrText>
      </w:r>
      <w:r w:rsidRPr="0074107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Intermountain Children's Services, Utah Chapter of the AAP, and the Department of Pediatrics at the Univer</w:instrText>
      </w:r>
      <w:r>
        <w:rPr>
          <w:rFonts w:ascii="Calibri" w:eastAsia="Calibri" w:hAnsi="Calibri"/>
          <w:spacing w:val="-1"/>
        </w:rPr>
        <w:instrText>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Intermountain Children's Services, Utah Chapter of the AAP, and the Department of Pediatrics at the University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fldChar w:fldCharType="end"/>
      </w:r>
    </w:p>
    <w:p w14:paraId="23642478" w14:textId="77777777" w:rsidR="007D0E28" w:rsidRPr="00741077" w:rsidRDefault="007D0E28" w:rsidP="000B438D">
      <w:pPr>
        <w:spacing w:before="11"/>
        <w:ind w:left="360"/>
        <w:rPr>
          <w:sz w:val="12"/>
          <w:szCs w:val="12"/>
        </w:rPr>
      </w:pPr>
    </w:p>
    <w:p w14:paraId="53D7CA30" w14:textId="77777777" w:rsidR="007D0E28" w:rsidRPr="00741077" w:rsidRDefault="007D0E28"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18746EED" w14:textId="77777777" w:rsidR="007D0E28" w:rsidRPr="008962E1" w:rsidRDefault="007D0E28"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4.00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45D04B9F" w14:textId="77777777" w:rsidR="007D0E28" w:rsidRPr="00741077" w:rsidRDefault="007D0E28"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62D74466" wp14:editId="7767D5D7">
            <wp:simplePos x="0" y="0"/>
            <wp:positionH relativeFrom="column">
              <wp:posOffset>227965</wp:posOffset>
            </wp:positionH>
            <wp:positionV relativeFrom="paragraph">
              <wp:posOffset>3175</wp:posOffset>
            </wp:positionV>
            <wp:extent cx="901700" cy="850900"/>
            <wp:effectExtent l="0" t="0" r="0" b="0"/>
            <wp:wrapSquare wrapText="bothSides"/>
            <wp:docPr id="91488605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Pr>
          <w:rFonts w:ascii="Calibri" w:eastAsia="Calibri" w:hAnsi="Calibri"/>
          <w:spacing w:val="-1"/>
        </w:rPr>
        <w:t xml:space="preserve"> Intermountain Health, Intermountain Children's Services, Utah Chapter of the AAP, and the Department of Pediatrics at the University of Utah School of Medicine</w:t>
      </w:r>
      <w:r w:rsidRPr="00741077">
        <w:rPr>
          <w:rFonts w:ascii="Calibri" w:eastAsia="Calibri" w:hAnsi="Calibri"/>
          <w:spacing w:val="-1"/>
        </w:rPr>
        <w:t>. Intermountain Health is accredited by the ACCME to provide continuing medical education for physicians.</w:t>
      </w:r>
    </w:p>
    <w:p w14:paraId="62F1DE36" w14:textId="77777777" w:rsidR="007D0E28" w:rsidRPr="00741077" w:rsidRDefault="007D0E28" w:rsidP="000B438D">
      <w:pPr>
        <w:spacing w:before="11"/>
        <w:ind w:left="360"/>
        <w:rPr>
          <w:sz w:val="12"/>
          <w:szCs w:val="12"/>
        </w:rPr>
      </w:pPr>
    </w:p>
    <w:p w14:paraId="73E6BA72" w14:textId="77777777" w:rsidR="007D0E28" w:rsidRPr="00741077" w:rsidRDefault="007D0E28" w:rsidP="000B438D">
      <w:pPr>
        <w:pStyle w:val="Heading2"/>
        <w:spacing w:before="55"/>
        <w:ind w:left="360" w:right="662"/>
        <w:rPr>
          <w:b w:val="0"/>
          <w:bCs w:val="0"/>
        </w:rPr>
      </w:pPr>
      <w:r>
        <w:rPr>
          <w:spacing w:val="-1"/>
        </w:rPr>
        <w:lastRenderedPageBreak/>
        <w:t>AMA</w:t>
      </w:r>
      <w:r w:rsidRPr="00741077">
        <w:rPr>
          <w:spacing w:val="-6"/>
        </w:rPr>
        <w:t xml:space="preserve"> </w:t>
      </w:r>
      <w:r w:rsidRPr="00741077">
        <w:rPr>
          <w:spacing w:val="-1"/>
        </w:rPr>
        <w:t>Credit</w:t>
      </w:r>
    </w:p>
    <w:p w14:paraId="758B98C7" w14:textId="77777777" w:rsidR="007D0E28" w:rsidRPr="00741077" w:rsidRDefault="007D0E28"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4.00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077103C1" w14:textId="77777777" w:rsidR="007D0E28" w:rsidRDefault="007D0E28" w:rsidP="000B438D">
      <w:pPr>
        <w:ind w:left="360" w:right="662"/>
        <w:rPr>
          <w:rFonts w:ascii="Calibri" w:eastAsia="Calibri" w:hAnsi="Calibri"/>
          <w:spacing w:val="-1"/>
        </w:rPr>
      </w:pPr>
    </w:p>
    <w:p w14:paraId="15A9C787" w14:textId="77777777" w:rsidR="007D0E28" w:rsidRPr="00E44EA6" w:rsidRDefault="007D0E28"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3FBCA54A" w14:textId="77777777" w:rsidR="007D0E28" w:rsidRDefault="007D0E28"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6583A2AC" wp14:editId="06048D36">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Intermountain Health is accredited as a provider of nursing continuing 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p>
    <w:p w14:paraId="6B133744" w14:textId="77777777" w:rsidR="007D0E28" w:rsidRDefault="007D0E28" w:rsidP="000B438D">
      <w:pPr>
        <w:ind w:left="360" w:right="662"/>
        <w:rPr>
          <w:rFonts w:ascii="Calibri" w:eastAsia="Calibri" w:hAnsi="Calibri"/>
          <w:spacing w:val="-1"/>
        </w:rPr>
      </w:pPr>
    </w:p>
    <w:p w14:paraId="511D6438" w14:textId="77777777" w:rsidR="007D0E28" w:rsidRDefault="007D0E28" w:rsidP="007D0E28">
      <w:pPr>
        <w:ind w:left="360" w:right="662"/>
        <w:rPr>
          <w:rFonts w:eastAsia="Calibri" w:cstheme="minorHAnsi"/>
          <w:b/>
          <w:bCs/>
          <w:spacing w:val="-1"/>
        </w:rPr>
      </w:pPr>
      <w:r>
        <w:rPr>
          <w:rFonts w:eastAsia="Calibri" w:cstheme="minorHAnsi"/>
          <w:b/>
          <w:bCs/>
          <w:spacing w:val="-1"/>
        </w:rPr>
        <w:t>MOC Part II Credit</w:t>
      </w:r>
    </w:p>
    <w:p w14:paraId="2D58334D" w14:textId="6F9A8BF6" w:rsidR="007D0E28" w:rsidRDefault="007D0E28" w:rsidP="007D0E28">
      <w:pPr>
        <w:ind w:left="360" w:right="662"/>
        <w:rPr>
          <w:rFonts w:ascii="Calibri" w:eastAsia="Calibri" w:hAnsi="Calibri"/>
          <w:spacing w:val="-1"/>
        </w:rPr>
      </w:pPr>
      <w:r>
        <w:rPr>
          <w:noProof/>
        </w:rPr>
        <w:drawing>
          <wp:anchor distT="0" distB="0" distL="114300" distR="114300" simplePos="0" relativeHeight="251663360" behindDoc="0" locked="0" layoutInCell="1" allowOverlap="1" wp14:anchorId="16F8517C" wp14:editId="4F5AB1ED">
            <wp:simplePos x="0" y="0"/>
            <wp:positionH relativeFrom="column">
              <wp:posOffset>250825</wp:posOffset>
            </wp:positionH>
            <wp:positionV relativeFrom="paragraph">
              <wp:posOffset>132715</wp:posOffset>
            </wp:positionV>
            <wp:extent cx="923925" cy="923925"/>
            <wp:effectExtent l="0" t="0" r="9525" b="9525"/>
            <wp:wrapSquare wrapText="bothSides"/>
            <wp:docPr id="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color w:val="000000"/>
          <w:shd w:val="clear" w:color="auto" w:fill="FFFFFF"/>
        </w:rPr>
        <w:t>Successful completion of this CME activity, which includes participation in the activity, with individual assessments of the participant and feedback to the participant, enables the participant to earn 4 MOC points in the American Board of Pediatrics’ (ABP) Maintenance of Certification (MOC) program. It is the CME activity provider’s responsibility to submit participant completion information to ACCME for the purpose of granting ABP MOC credit.</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2BB4DFB9" w14:textId="77777777" w:rsidR="007D0E28" w:rsidRDefault="007D0E28" w:rsidP="000B438D">
      <w:pPr>
        <w:ind w:left="360"/>
        <w:rPr>
          <w:rFonts w:ascii="Calibri" w:eastAsia="Calibri" w:hAnsi="Calibri"/>
          <w:spacing w:val="-1"/>
        </w:rPr>
      </w:pPr>
    </w:p>
    <w:p w14:paraId="54F79260" w14:textId="77777777" w:rsidR="007D0E28" w:rsidRPr="00267239" w:rsidRDefault="007D0E28"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38B7425E" w14:textId="77777777" w:rsidR="007D0E28" w:rsidRPr="008178B2" w:rsidRDefault="007D0E28"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6979F3A7" w14:textId="77777777" w:rsidR="007D0E28" w:rsidRDefault="007D0E28" w:rsidP="000B438D">
      <w:pPr>
        <w:ind w:left="360" w:right="662"/>
        <w:rPr>
          <w:rFonts w:ascii="Calibri" w:hAnsi="Calibri" w:cs="Calibri"/>
        </w:rPr>
      </w:pPr>
    </w:p>
    <w:p w14:paraId="06852FE7" w14:textId="77777777" w:rsidR="007D0E28" w:rsidRPr="00972412" w:rsidRDefault="007D0E28"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3E8B696A" w14:textId="77777777" w:rsidR="007D0E28" w:rsidRPr="00C01615" w:rsidRDefault="007D0E28"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77A9F33B" wp14:editId="4DE51B7D">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0557DFB4" w14:textId="77777777" w:rsidR="007D0E28" w:rsidRPr="00741077" w:rsidRDefault="007D0E28"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w:instrText>
      </w:r>
      <w:r w:rsidRPr="00661BF9">
        <w:rPr>
          <w:rFonts w:ascii="Calibri" w:hAnsi="Calibri" w:cs="Arial"/>
        </w:rPr>
        <w:instrText xml:space="preserve"> report failure as a result of incorrect NABP information. Please contact </w:instrText>
      </w:r>
      <w:hyperlink r:id="rId13"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172DA7DA" w14:textId="77777777" w:rsidR="007D0E28" w:rsidRPr="00741077" w:rsidRDefault="007D0E28">
      <w:pPr>
        <w:spacing w:line="200" w:lineRule="exact"/>
        <w:rPr>
          <w:sz w:val="20"/>
          <w:szCs w:val="20"/>
        </w:rPr>
      </w:pPr>
    </w:p>
    <w:p w14:paraId="4D8D1728" w14:textId="77777777" w:rsidR="007D0E28" w:rsidRPr="00741077" w:rsidRDefault="007D0E28">
      <w:pPr>
        <w:spacing w:line="220" w:lineRule="exact"/>
      </w:pPr>
    </w:p>
    <w:p w14:paraId="38BE45E1" w14:textId="77777777" w:rsidR="007D0E28" w:rsidRPr="00741077" w:rsidRDefault="007D0E28">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768B953D" w14:textId="77777777" w:rsidR="007D0E28" w:rsidRDefault="007D0E28" w:rsidP="008100D6">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53295" w14:textId="77777777" w:rsidR="007D0E28" w:rsidRDefault="007D0E28">
      <w:r>
        <w:separator/>
      </w:r>
    </w:p>
  </w:endnote>
  <w:endnote w:type="continuationSeparator" w:id="0">
    <w:p w14:paraId="6C798A59" w14:textId="77777777" w:rsidR="007D0E28" w:rsidRDefault="007D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7252" w14:textId="77777777" w:rsidR="007D0E28" w:rsidRDefault="007D0E28">
      <w:r>
        <w:separator/>
      </w:r>
    </w:p>
  </w:footnote>
  <w:footnote w:type="continuationSeparator" w:id="0">
    <w:p w14:paraId="427EE17A" w14:textId="77777777" w:rsidR="007D0E28" w:rsidRDefault="007D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C6FC" w14:textId="77777777" w:rsidR="007D0E28" w:rsidRDefault="007D0E28" w:rsidP="0044511E">
    <w:pPr>
      <w:pStyle w:val="Header"/>
      <w:jc w:val="center"/>
    </w:pPr>
  </w:p>
  <w:p w14:paraId="1B268B77" w14:textId="77777777" w:rsidR="007D0E28" w:rsidRDefault="007D0E28"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C402E"/>
    <w:multiLevelType w:val="hybridMultilevel"/>
    <w:tmpl w:val="ABD6E6A0"/>
    <w:lvl w:ilvl="0" w:tplc="81E845EE">
      <w:start w:val="1"/>
      <w:numFmt w:val="decimal"/>
      <w:lvlText w:val="%1"/>
      <w:lvlJc w:val="left"/>
      <w:pPr>
        <w:ind w:left="140" w:hanging="162"/>
      </w:pPr>
      <w:rPr>
        <w:rFonts w:ascii="Calibri" w:eastAsia="Calibri" w:hAnsi="Calibri" w:hint="default"/>
        <w:w w:val="99"/>
        <w:sz w:val="22"/>
        <w:szCs w:val="22"/>
      </w:rPr>
    </w:lvl>
    <w:lvl w:ilvl="1" w:tplc="2B16597C">
      <w:start w:val="1"/>
      <w:numFmt w:val="bullet"/>
      <w:lvlText w:val="•"/>
      <w:lvlJc w:val="left"/>
      <w:pPr>
        <w:ind w:left="1242" w:hanging="162"/>
      </w:pPr>
      <w:rPr>
        <w:rFonts w:hint="default"/>
      </w:rPr>
    </w:lvl>
    <w:lvl w:ilvl="2" w:tplc="570E41E8">
      <w:start w:val="1"/>
      <w:numFmt w:val="bullet"/>
      <w:lvlText w:val="•"/>
      <w:lvlJc w:val="left"/>
      <w:pPr>
        <w:ind w:left="2344" w:hanging="162"/>
      </w:pPr>
      <w:rPr>
        <w:rFonts w:hint="default"/>
      </w:rPr>
    </w:lvl>
    <w:lvl w:ilvl="3" w:tplc="E1C01606">
      <w:start w:val="1"/>
      <w:numFmt w:val="bullet"/>
      <w:lvlText w:val="•"/>
      <w:lvlJc w:val="left"/>
      <w:pPr>
        <w:ind w:left="3446" w:hanging="162"/>
      </w:pPr>
      <w:rPr>
        <w:rFonts w:hint="default"/>
      </w:rPr>
    </w:lvl>
    <w:lvl w:ilvl="4" w:tplc="2536F05A">
      <w:start w:val="1"/>
      <w:numFmt w:val="bullet"/>
      <w:lvlText w:val="•"/>
      <w:lvlJc w:val="left"/>
      <w:pPr>
        <w:ind w:left="4548" w:hanging="162"/>
      </w:pPr>
      <w:rPr>
        <w:rFonts w:hint="default"/>
      </w:rPr>
    </w:lvl>
    <w:lvl w:ilvl="5" w:tplc="6F1861C4">
      <w:start w:val="1"/>
      <w:numFmt w:val="bullet"/>
      <w:lvlText w:val="•"/>
      <w:lvlJc w:val="left"/>
      <w:pPr>
        <w:ind w:left="5650" w:hanging="162"/>
      </w:pPr>
      <w:rPr>
        <w:rFonts w:hint="default"/>
      </w:rPr>
    </w:lvl>
    <w:lvl w:ilvl="6" w:tplc="F8B618B8">
      <w:start w:val="1"/>
      <w:numFmt w:val="bullet"/>
      <w:lvlText w:val="•"/>
      <w:lvlJc w:val="left"/>
      <w:pPr>
        <w:ind w:left="6752" w:hanging="162"/>
      </w:pPr>
      <w:rPr>
        <w:rFonts w:hint="default"/>
      </w:rPr>
    </w:lvl>
    <w:lvl w:ilvl="7" w:tplc="A8647B44">
      <w:start w:val="1"/>
      <w:numFmt w:val="bullet"/>
      <w:lvlText w:val="•"/>
      <w:lvlJc w:val="left"/>
      <w:pPr>
        <w:ind w:left="7854" w:hanging="162"/>
      </w:pPr>
      <w:rPr>
        <w:rFonts w:hint="default"/>
      </w:rPr>
    </w:lvl>
    <w:lvl w:ilvl="8" w:tplc="6A7ED70E">
      <w:start w:val="1"/>
      <w:numFmt w:val="bullet"/>
      <w:lvlText w:val="•"/>
      <w:lvlJc w:val="left"/>
      <w:pPr>
        <w:ind w:left="8956" w:hanging="162"/>
      </w:pPr>
      <w:rPr>
        <w:rFonts w:hint="default"/>
      </w:rPr>
    </w:lvl>
  </w:abstractNum>
  <w:num w:numId="1" w16cid:durableId="87801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AD"/>
    <w:rsid w:val="001D7C1E"/>
    <w:rsid w:val="006A3BAD"/>
    <w:rsid w:val="007D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C6F7"/>
  <w15:docId w15:val="{92530DF5-AE07-47E4-89BA-8687AF9B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pce@ima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Amy Stoeger</cp:lastModifiedBy>
  <cp:revision>2</cp:revision>
  <dcterms:created xsi:type="dcterms:W3CDTF">2024-09-23T18:50:00Z</dcterms:created>
  <dcterms:modified xsi:type="dcterms:W3CDTF">2024-09-23T18:50:00Z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