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2026 Excellence</w:t>
      </w:r>
      <w:r w:rsidRPr="0038080E">
        <w:rPr>
          <w:rFonts w:asciiTheme="minorHAnsi" w:hAnsiTheme="minorHAnsi" w:cstheme="minorHAnsi"/>
          <w:sz w:val="32"/>
          <w:szCs w:val="32"/>
        </w:rPr>
        <w:t xml:space="preserve"> in Sepsis Care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March 5,</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 xml:space="preserve">St. </w:t>
      </w:r>
      <w:r w:rsidRPr="0038080E">
        <w:rPr>
          <w:rFonts w:asciiTheme="minorHAnsi" w:hAnsiTheme="minorHAnsi" w:cstheme="minorHAnsi"/>
          <w:sz w:val="32"/>
          <w:szCs w:val="32"/>
        </w:rPr>
        <w:t>George Regional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Nurse Practitioner, Nurse-Clinical, Other Medical Personnel, Pharmacist, Respiratory Therapist, Student,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Balls,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R. Bledsoe,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etc.-Peroshpere|Membership on Advisory Committees or Review Panels, Board Membership, etc.-VendRx|Ownership-JAJ LLC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C. Dean,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Colin K. Grissom,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B. Jones, MHA,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Roni D. Lane,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Imani Mobley, 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Todd Mohr,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Munroe,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 Nelson,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Ithan D. Peltan,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support-Bluejay Diagnostics|Grant or research support-Regeneron|Grant or research support-Novartis AG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A. Pirozzi,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K. Workman,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6.25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6.25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5104768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6.25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6.25</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6.25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226607776"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6.25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