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993B4D" w:rsidRPr="00154026" w:rsidP="006A623D">
      <w:pPr>
        <w:spacing w:line="240" w:lineRule="auto"/>
        <w:rPr>
          <w:rFonts w:ascii="Arial" w:hAnsi="Arial"/>
          <w:b/>
          <w:noProof/>
          <w:sz w:val="28"/>
          <w:szCs w:val="28"/>
        </w:rPr>
      </w:pPr>
      <w:r w:rsidRPr="00154026">
        <w:rPr>
          <w:rFonts w:ascii="Arial" w:hAnsi="Arial"/>
        </w:rPr>
        <w:br/>
      </w:r>
      <w:r w:rsidRPr="00154026" w:rsidR="007B0FAA">
        <w:rPr>
          <w:rFonts w:ascii="Arial" w:hAnsi="Arial"/>
          <w:b/>
          <w:color w:val="31849B" w:themeColor="accent5" w:themeShade="BF"/>
          <w:sz w:val="28"/>
          <w:szCs w:val="28"/>
        </w:rPr>
        <w:br/>
      </w:r>
      <w:r w:rsidRPr="00154026">
        <w:rPr>
          <w:rFonts w:ascii="Arial" w:hAnsi="Arial"/>
          <w:b/>
          <w:noProof/>
          <w:color w:val="17365D" w:themeColor="text2" w:themeShade="BF"/>
          <w:sz w:val="28"/>
          <w:szCs w:val="28"/>
        </w:rPr>
        <w:t>2nd Annual</w:t>
      </w:r>
      <w:r w:rsidRPr="00154026">
        <w:rPr>
          <w:rFonts w:ascii="Arial" w:hAnsi="Arial"/>
          <w:b/>
          <w:noProof/>
          <w:color w:val="17365D" w:themeColor="text2" w:themeShade="BF"/>
          <w:sz w:val="28"/>
          <w:szCs w:val="28"/>
        </w:rPr>
        <w:t xml:space="preserve"> BHCP Clinical Learning Day</w:t>
      </w:r>
      <w:r w:rsidRPr="00154026">
        <w:rPr>
          <w:rFonts w:ascii="Arial" w:hAnsi="Arial"/>
          <w:b/>
          <w:noProof/>
          <w:color w:val="31849B" w:themeColor="accent5" w:themeShade="BF"/>
          <w:sz w:val="28"/>
          <w:szCs w:val="28"/>
        </w:rPr>
        <w:t xml:space="preserve"> | </w:t>
      </w:r>
      <w:r w:rsidRPr="00154026">
        <w:rPr>
          <w:rFonts w:ascii="Arial" w:hAnsi="Arial"/>
          <w:b/>
          <w:noProof/>
          <w:sz w:val="28"/>
          <w:szCs w:val="28"/>
        </w:rPr>
        <w:t>10/22</w:t>
      </w:r>
      <w:r w:rsidRPr="00154026">
        <w:rPr>
          <w:rFonts w:ascii="Arial" w:hAnsi="Arial"/>
          <w:b/>
          <w:noProof/>
          <w:sz w:val="28"/>
          <w:szCs w:val="28"/>
        </w:rPr>
        <w:t>/2020 2:30:00 PM</w:t>
      </w:r>
      <w:r w:rsidRPr="00154026">
        <w:rPr>
          <w:rFonts w:ascii="Arial" w:hAnsi="Arial"/>
          <w:b/>
          <w:noProof/>
          <w:sz w:val="28"/>
          <w:szCs w:val="28"/>
        </w:rPr>
        <w:t xml:space="preserve"> </w:t>
      </w:r>
      <w:r w:rsidRPr="00154026">
        <w:rPr>
          <w:rFonts w:ascii="Arial" w:hAnsi="Arial"/>
          <w:b/>
          <w:noProof/>
          <w:sz w:val="28"/>
          <w:szCs w:val="28"/>
        </w:rPr>
        <w:t>Murray</w:t>
      </w:r>
      <w:r w:rsidRPr="00154026">
        <w:rPr>
          <w:rFonts w:ascii="Arial" w:hAnsi="Arial"/>
          <w:b/>
          <w:noProof/>
          <w:sz w:val="28"/>
          <w:szCs w:val="28"/>
        </w:rPr>
        <w:t xml:space="preserve"> </w:t>
      </w:r>
      <w:r w:rsidRPr="00154026">
        <w:rPr>
          <w:rFonts w:ascii="Arial" w:hAnsi="Arial"/>
          <w:b/>
          <w:noProof/>
          <w:sz w:val="28"/>
          <w:szCs w:val="28"/>
        </w:rPr>
        <w:t>UT</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Register for</w:t>
      </w:r>
      <w:r w:rsidRPr="00154026" w:rsidR="00993B4D">
        <w:rPr>
          <w:rFonts w:ascii="Arial" w:hAnsi="Arial"/>
          <w:noProof/>
          <w:color w:val="000000" w:themeColor="text1"/>
          <w:sz w:val="24"/>
          <w:szCs w:val="24"/>
        </w:rPr>
        <w:t xml:space="preserve"> one session only;Session 1-Thursday, October 22 2:30-7:00pmORSession 2-Tuesday, October 27 2:30-7:00pmYearly it is expected that the clinical program host an opportunity for collegiality, growth and learning for all it's providers. This year is no exception and we are looking forward to a virtual meeting where we discuss some updates in medications, medical cannabis, psychedelics and short effective therapy around sleep.</w:t>
      </w:r>
    </w:p>
    <w:p w:rsidR="00993B4D" w:rsidRPr="00154026" w:rsidP="006A623D">
      <w:pPr>
        <w:spacing w:line="240" w:lineRule="auto"/>
        <w:rPr>
          <w:rFonts w:ascii="Arial" w:hAnsi="Arial"/>
          <w:color w:val="000000" w:themeColor="text1"/>
          <w:sz w:val="24"/>
          <w:szCs w:val="24"/>
        </w:rPr>
      </w:pPr>
    </w:p>
    <w:p w:rsidRPr="00154026" w:rsidP="006A623D">
      <w:pPr>
        <w:spacing w:line="240" w:lineRule="auto"/>
        <w:rPr>
          <w:rFonts w:ascii="Arial" w:hAnsi="Arial" w:cs="Arial"/>
          <w:noProof/>
          <w:sz w:val="24"/>
          <w:szCs w:val="24"/>
        </w:rPr>
      </w:pPr>
      <w:r w:rsidRPr="00154026">
        <w:rPr>
          <w:rFonts w:ascii="Arial" w:hAnsi="Arial" w:cs="Arial"/>
          <w:b/>
          <w:sz w:val="24"/>
          <w:szCs w:val="24"/>
        </w:rPr>
        <w:t>Program Goal:</w:t>
      </w:r>
      <w:r w:rsidRPr="00154026">
        <w:rPr>
          <w:rFonts w:ascii="Arial" w:hAnsi="Arial" w:cs="Arial"/>
          <w:sz w:val="24"/>
          <w:szCs w:val="24"/>
        </w:rPr>
        <w:t xml:space="preserve"> </w:t>
      </w:r>
    </w:p>
    <w:p w:rsidRPr="00154026" w:rsidP="006A623D">
      <w:pPr>
        <w:spacing w:line="240" w:lineRule="auto"/>
        <w:rPr>
          <w:rFonts w:ascii="Arial" w:hAnsi="Arial" w:cs="Arial"/>
          <w:noProof/>
          <w:sz w:val="24"/>
          <w:szCs w:val="24"/>
        </w:rPr>
      </w:pPr>
      <w:r w:rsidRPr="00154026">
        <w:rPr>
          <w:rFonts w:ascii="Arial" w:hAnsi="Arial" w:cs="Arial"/>
          <w:noProof/>
          <w:sz w:val="24"/>
          <w:szCs w:val="24"/>
        </w:rPr>
        <w:t>Objectives</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12717. Identify conditions and situations where patients should be involuntarily committed.</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12718. Identify resources to support knowledge about involuntary commitment.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12719. Employ evidence based techniques to improve insomnia in patients.</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12720. Identify new cognitive screen being adopted by Intermountain Healthcare.</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12721. Identify opportunities when brexanolone is indicated.</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12722. Identify opportunities when psychedelics may be appropriate for patients.</w:t>
      </w:r>
    </w:p>
    <w:p w:rsidRPr="00154026" w:rsidP="006A623D">
      <w:pPr>
        <w:spacing w:line="240" w:lineRule="auto"/>
        <w:rPr>
          <w:rFonts w:ascii="Arial" w:hAnsi="Arial" w:cs="Arial"/>
          <w:noProof/>
          <w:sz w:val="24"/>
          <w:szCs w:val="24"/>
        </w:rPr>
      </w:pPr>
    </w:p>
    <w:p w:rsidR="00993B4D" w:rsidRPr="00154026" w:rsidP="006A623D">
      <w:pPr>
        <w:spacing w:line="240" w:lineRule="auto"/>
        <w:rPr>
          <w:rFonts w:ascii="Arial" w:hAnsi="Arial"/>
          <w:color w:val="000000" w:themeColor="text1"/>
          <w:sz w:val="24"/>
          <w:szCs w:val="24"/>
        </w:rPr>
      </w:pPr>
    </w:p>
    <w:p w:rsidR="00993B4D" w:rsidRPr="00154026" w:rsidP="006A623D">
      <w:pPr>
        <w:spacing w:line="240" w:lineRule="auto"/>
        <w:rPr>
          <w:rFonts w:ascii="Arial" w:hAnsi="Arial" w:cs="Arial"/>
          <w:noProof/>
          <w:sz w:val="24"/>
          <w:szCs w:val="24"/>
        </w:rPr>
      </w:pPr>
      <w:r w:rsidRPr="00154026">
        <w:rPr>
          <w:rFonts w:ascii="Arial" w:hAnsi="Arial" w:cs="Arial"/>
          <w:b/>
          <w:sz w:val="24"/>
          <w:szCs w:val="24"/>
        </w:rPr>
        <w:t>Target Audience:</w:t>
      </w:r>
      <w:r w:rsidRPr="00154026">
        <w:rPr>
          <w:rFonts w:ascii="Arial" w:hAnsi="Arial" w:cs="Arial"/>
          <w:sz w:val="24"/>
          <w:szCs w:val="24"/>
        </w:rPr>
        <w:t xml:space="preserve"> </w:t>
      </w:r>
      <w:r w:rsidRPr="00154026">
        <w:rPr>
          <w:rFonts w:ascii="Arial" w:hAnsi="Arial" w:cs="Arial"/>
          <w:noProof/>
          <w:sz w:val="24"/>
          <w:szCs w:val="24"/>
        </w:rPr>
        <w:t>Psychiatry</w:t>
      </w:r>
    </w:p>
    <w:p w:rsidR="009A3B3F" w:rsidRPr="00154026" w:rsidP="006A623D">
      <w:pPr>
        <w:spacing w:line="240" w:lineRule="auto"/>
        <w:rPr>
          <w:rFonts w:ascii="Arial" w:hAnsi="Arial" w:cs="Arial"/>
          <w:noProof/>
          <w:sz w:val="24"/>
          <w:szCs w:val="24"/>
        </w:rPr>
      </w:pPr>
      <w:r w:rsidRPr="00154026">
        <w:rPr>
          <w:rFonts w:ascii="Arial" w:hAnsi="Arial" w:cs="Arial"/>
          <w:b/>
          <w:sz w:val="24"/>
          <w:szCs w:val="24"/>
        </w:rPr>
        <w:t>Faculty:</w:t>
      </w:r>
      <w:r w:rsidRPr="00154026">
        <w:rPr>
          <w:rFonts w:ascii="Arial" w:hAnsi="Arial" w:cs="Arial"/>
          <w:sz w:val="24"/>
          <w:szCs w:val="24"/>
        </w:rPr>
        <w:t xml:space="preserve"> </w:t>
      </w:r>
      <w:r w:rsidRPr="00154026">
        <w:rPr>
          <w:rFonts w:ascii="Arial" w:hAnsi="Arial" w:cs="Arial"/>
          <w:noProof/>
          <w:sz w:val="24"/>
          <w:szCs w:val="24"/>
        </w:rPr>
        <w:t>Dave  Burrow</w:t>
      </w:r>
      <w:r w:rsidRPr="00154026">
        <w:rPr>
          <w:rFonts w:ascii="Arial" w:hAnsi="Arial" w:cs="Arial"/>
          <w:noProof/>
          <w:sz w:val="24"/>
          <w:szCs w:val="24"/>
        </w:rPr>
        <w:t>, MD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Jeffrey  Clark, MD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Ben  Holt, MD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Benjamin  Lewis, MD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Brittany  McColgan, MD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Lori  Neeleman, PhD Disclosure(s) - I/we have no financial relationships to report.</w:t>
      </w:r>
    </w:p>
    <w:p w:rsidRPr="00154026" w:rsidP="006A623D">
      <w:pPr>
        <w:spacing w:line="240" w:lineRule="auto"/>
        <w:rPr>
          <w:rFonts w:ascii="Arial" w:hAnsi="Arial" w:cs="Arial"/>
          <w:noProof/>
          <w:sz w:val="24"/>
          <w:szCs w:val="24"/>
        </w:rPr>
      </w:pPr>
    </w:p>
    <w:p w:rsidRPr="00154026" w:rsidP="006A623D">
      <w:pPr>
        <w:spacing w:line="240" w:lineRule="auto"/>
        <w:rPr>
          <w:rFonts w:ascii="Arial" w:hAnsi="Arial" w:cs="Arial"/>
          <w:noProof/>
          <w:sz w:val="24"/>
          <w:szCs w:val="24"/>
        </w:rPr>
      </w:pPr>
      <w:r w:rsidRPr="00154026">
        <w:rPr>
          <w:rFonts w:ascii="Arial" w:hAnsi="Arial" w:cs="Arial"/>
          <w:noProof/>
          <w:sz w:val="24"/>
          <w:szCs w:val="24"/>
        </w:rPr>
        <w:t>Aaron  Vazquez, MD Disclosure(s) - I/we have no financial relationships to report.</w:t>
      </w:r>
    </w:p>
    <w:p w:rsidRPr="00154026" w:rsidP="006A623D">
      <w:pPr>
        <w:spacing w:line="240" w:lineRule="auto"/>
        <w:rPr>
          <w:rFonts w:ascii="Arial" w:hAnsi="Arial" w:cs="Arial"/>
          <w:noProof/>
          <w:sz w:val="24"/>
          <w:szCs w:val="24"/>
        </w:rPr>
      </w:pPr>
    </w:p>
    <w:p w:rsidR="009A3B3F" w:rsidRPr="00154026" w:rsidP="006A623D">
      <w:pPr>
        <w:spacing w:line="240" w:lineRule="auto"/>
        <w:rPr>
          <w:rFonts w:ascii="Arial" w:hAnsi="Arial" w:cs="Arial"/>
          <w:noProof/>
          <w:sz w:val="24"/>
          <w:szCs w:val="24"/>
        </w:rPr>
      </w:pPr>
    </w:p>
    <w:p w:rsidR="009A3B3F" w:rsidRPr="00154026" w:rsidP="006A623D">
      <w:pPr>
        <w:spacing w:line="240" w:lineRule="auto"/>
        <w:rPr>
          <w:rFonts w:ascii="Arial" w:hAnsi="Arial" w:cs="Arial"/>
          <w:sz w:val="24"/>
          <w:szCs w:val="24"/>
        </w:rPr>
      </w:pPr>
      <w:r w:rsidRPr="00154026">
        <w:rPr>
          <w:rFonts w:ascii="Arial" w:hAnsi="Arial" w:cs="Arial"/>
          <w:b/>
          <w:sz w:val="24"/>
          <w:szCs w:val="24"/>
        </w:rPr>
        <w:t>Misc:</w:t>
      </w:r>
      <w:r w:rsidRPr="00154026">
        <w:rPr>
          <w:rFonts w:ascii="Arial" w:hAnsi="Arial" w:cs="Arial"/>
          <w:sz w:val="24"/>
          <w:szCs w:val="24"/>
        </w:rPr>
        <w:t xml:space="preserve"> </w:t>
      </w:r>
    </w:p>
    <w:p w:rsidR="00CC477A" w:rsidRPr="00154026" w:rsidP="00CC477A">
      <w:pPr>
        <w:spacing w:line="240" w:lineRule="auto"/>
        <w:rPr>
          <w:rFonts w:ascii="Arial" w:hAnsi="Arial" w:cs="Arial"/>
          <w:sz w:val="24"/>
          <w:szCs w:val="20"/>
        </w:rPr>
      </w:pPr>
      <w:r w:rsidRPr="00154026">
        <w:rPr>
          <w:rFonts w:ascii="Arial" w:hAnsi="Arial" w:cs="Arial"/>
          <w:sz w:val="24"/>
          <w:szCs w:val="20"/>
        </w:rPr>
        <w:t>The</w:t>
      </w:r>
      <w:r w:rsidRPr="00154026">
        <w:rPr>
          <w:rFonts w:ascii="Arial" w:hAnsi="Arial" w:cs="Arial"/>
          <w:sz w:val="24"/>
          <w:szCs w:val="20"/>
        </w:rPr>
        <w:t xml:space="preserve"> </w:t>
      </w:r>
      <w:r w:rsidRPr="00154026">
        <w:rPr>
          <w:rFonts w:ascii="Arial" w:hAnsi="Arial" w:cs="Arial"/>
          <w:sz w:val="24"/>
          <w:szCs w:val="20"/>
        </w:rPr>
        <w:t>School of Medicine is accredited by the Accreditation Council for Continuing Medical Education (ACCME) to provide continuing medical education for physicians</w:t>
      </w:r>
      <w:r w:rsidRPr="00154026">
        <w:rPr>
          <w:rFonts w:ascii="Arial" w:hAnsi="Arial" w:cs="Arial"/>
          <w:sz w:val="24"/>
          <w:szCs w:val="20"/>
        </w:rPr>
        <w:t>.</w:t>
      </w:r>
    </w:p>
    <w:p w:rsidR="00993B4D" w:rsidRPr="00154026" w:rsidP="003B6C7B">
      <w:pPr>
        <w:spacing w:line="240" w:lineRule="auto"/>
        <w:rPr>
          <w:rFonts w:ascii="Arial" w:hAnsi="Arial" w:cs="Arial"/>
          <w:sz w:val="24"/>
          <w:szCs w:val="20"/>
        </w:rPr>
      </w:pPr>
      <w:r w:rsidRPr="00154026">
        <w:rPr>
          <w:rFonts w:ascii="Arial" w:hAnsi="Arial" w:cs="Arial"/>
          <w:sz w:val="24"/>
          <w:szCs w:val="20"/>
        </w:rPr>
        <w:t>The</w:t>
      </w:r>
      <w:r w:rsidRPr="00154026" w:rsidR="00CC477A">
        <w:rPr>
          <w:rFonts w:ascii="Arial" w:hAnsi="Arial" w:cs="Arial"/>
          <w:sz w:val="24"/>
          <w:szCs w:val="20"/>
        </w:rPr>
        <w:t xml:space="preserve"> School of Medicine </w:t>
      </w:r>
      <w:r w:rsidRPr="00154026">
        <w:rPr>
          <w:rFonts w:ascii="Arial" w:hAnsi="Arial" w:cs="Arial"/>
          <w:sz w:val="24"/>
          <w:szCs w:val="20"/>
        </w:rPr>
        <w:t xml:space="preserve">designates this educational activity for a maximum of </w:t>
      </w:r>
      <w:r w:rsidRPr="00154026">
        <w:rPr>
          <w:rFonts w:ascii="Arial" w:hAnsi="Arial" w:cs="Arial"/>
          <w:noProof/>
          <w:sz w:val="24"/>
        </w:rPr>
        <w:t>4.00</w:t>
      </w:r>
      <w:r w:rsidRPr="00154026">
        <w:rPr>
          <w:rFonts w:ascii="Arial" w:hAnsi="Arial" w:cs="Arial"/>
          <w:sz w:val="24"/>
        </w:rPr>
        <w:t xml:space="preserve"> </w:t>
      </w:r>
      <w:r w:rsidRPr="00154026">
        <w:rPr>
          <w:rFonts w:ascii="Arial" w:hAnsi="Arial" w:cs="Arial"/>
          <w:sz w:val="24"/>
          <w:szCs w:val="20"/>
        </w:rPr>
        <w:t>AMA PRA Category 1 Credit. Physicians should only claim credit commensurate with the extent of their participation in the activity.</w:t>
      </w:r>
    </w:p>
    <w:p w:rsidR="00993B4D" w:rsidRPr="00154026" w:rsidP="006A623D">
      <w:pPr>
        <w:spacing w:line="240" w:lineRule="auto"/>
        <w:rPr>
          <w:rFonts w:ascii="Arial" w:hAnsi="Arial"/>
          <w:color w:val="000000" w:themeColor="text1"/>
          <w:sz w:val="24"/>
          <w:szCs w:val="24"/>
        </w:rPr>
      </w:pPr>
      <w:r w:rsidRPr="00154026">
        <w:rPr>
          <w:rFonts w:ascii="Arial" w:hAnsi="Arial" w:cs="Arial"/>
          <w:sz w:val="24"/>
          <w:szCs w:val="24"/>
        </w:rPr>
        <w:t>If you have</w:t>
      </w:r>
      <w:r w:rsidRPr="00154026">
        <w:rPr>
          <w:rFonts w:ascii="Arial" w:hAnsi="Arial" w:cs="Arial"/>
          <w:sz w:val="24"/>
          <w:szCs w:val="24"/>
        </w:rPr>
        <w:t xml:space="preserve"> questions, </w:t>
      </w:r>
      <w:r w:rsidRPr="00154026">
        <w:rPr>
          <w:rFonts w:ascii="Arial" w:hAnsi="Arial" w:cs="Arial"/>
          <w:sz w:val="24"/>
          <w:szCs w:val="24"/>
        </w:rPr>
        <w:t xml:space="preserve">please </w:t>
      </w:r>
      <w:r w:rsidRPr="00154026">
        <w:rPr>
          <w:rFonts w:ascii="Arial" w:hAnsi="Arial" w:cs="Arial"/>
          <w:sz w:val="24"/>
          <w:szCs w:val="24"/>
        </w:rPr>
        <w:t xml:space="preserve">email </w:t>
      </w:r>
      <w:r w:rsidRPr="00154026">
        <w:rPr>
          <w:rFonts w:ascii="Arial" w:hAnsi="Arial" w:cs="Arial"/>
          <w:noProof/>
          <w:sz w:val="24"/>
          <w:szCs w:val="24"/>
        </w:rPr>
        <w:t>IPCE@imail</w:t>
      </w:r>
      <w:r w:rsidRPr="00154026">
        <w:rPr>
          <w:rFonts w:ascii="Arial" w:hAnsi="Arial" w:cs="Arial"/>
          <w:noProof/>
          <w:sz w:val="24"/>
          <w:szCs w:val="24"/>
        </w:rPr>
        <w:t>.org</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m:mathPr>
    <m:mathFont m:val="@ＭＳ ゴシック"/>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Office Word</Application>
  <DocSecurity>0</DocSecurity>
  <Lines>7</Lines>
  <Paragraphs>1</Paragraphs>
  <ScaleCrop>false</ScaleCrop>
  <Company>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Paul Carpenter</cp:lastModifiedBy>
  <cp:revision>9</cp:revision>
  <dcterms:created xsi:type="dcterms:W3CDTF">2016-02-10T14:54:00Z</dcterms:created>
  <dcterms:modified xsi:type="dcterms:W3CDTF">2017-05-23T15:26:00Z</dcterms:modified>
</cp:coreProperties>
</file>