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2nd Annual</w:t>
      </w:r>
      <w:r w:rsidRPr="0038080E">
        <w:rPr>
          <w:rFonts w:asciiTheme="minorHAnsi" w:hAnsiTheme="minorHAnsi" w:cstheme="minorHAnsi"/>
          <w:sz w:val="32"/>
          <w:szCs w:val="32"/>
        </w:rPr>
        <w:t xml:space="preserve"> Pediatric APP Symposium</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16,</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Andrews, DNP, CPNP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Honoraria-Zevra (Relationship has ended)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Angelo Giardino,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Emilee Glenn, MSN, FNP-C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G. Harvey,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Ellen M Kahn, DNP, APRN, FNB-BC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Levy, MSN, CRNP, NNP-BC,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Marlette, MSN, FNP-C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Seneca Moore, PhD,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 Smith, MSN,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TJ Smith, MBA, LSSGB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Tessa Vaschel,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Weirich,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Kari Weiss,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Heidi White, DNP, CPNP-PC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4.50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4.50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40333325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4.50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