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Pediatric Trauma</w:t>
      </w:r>
      <w:r w:rsidRPr="0038080E">
        <w:rPr>
          <w:rFonts w:asciiTheme="minorHAnsi" w:hAnsiTheme="minorHAnsi" w:cstheme="minorHAnsi"/>
          <w:sz w:val="32"/>
          <w:szCs w:val="32"/>
        </w:rPr>
        <w:t xml:space="preserve"> Update-2026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May 14,</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Primary Children's</w:t>
      </w:r>
      <w:r w:rsidRPr="0038080E">
        <w:rPr>
          <w:rFonts w:asciiTheme="minorHAnsi" w:hAnsiTheme="minorHAnsi" w:cstheme="minorHAnsi"/>
          <w:sz w:val="32"/>
          <w:szCs w:val="32"/>
        </w:rPr>
        <w:t xml:space="preserve"> Lehi</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Non-Physician, Advanced Practice Provider, Nurse, Nurse Practitioner, Nurse-Clinical, Other Medical Personnel, Physician Assistant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Kacey L. Barnes,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Connie L. Dangerfield, RN,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Stacie Johnson,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Cory A. Kartchner,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M Madsen,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Laurie Merrick,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Chalese Olsen,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Kelsea Peterson,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 S. Prince,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H. Smith, MSN,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A. Swendiman, MD, MPP, MSCE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- 09/19/2025</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3.50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and the Department of Pediatrics at the University of Utah School of Medicine</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3.50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36853963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and the Department of Pediatrics at the University of Utah School of Medicine</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3.50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32793085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w:instrText>
      </w:r>
      <w:r w:rsidR="008962E1">
        <w:rPr>
          <w:rFonts w:ascii="Calibri" w:eastAsia="Calibri" w:hAnsi="Calibri"/>
          <w:spacing w:val="-1"/>
        </w:rPr>
        <w:instrText>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2025-11-12T16:53:00Z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