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Cardiovascular and</w:t>
      </w:r>
      <w:r w:rsidRPr="0038080E">
        <w:rPr>
          <w:rFonts w:asciiTheme="minorHAnsi" w:hAnsiTheme="minorHAnsi" w:cstheme="minorHAnsi"/>
          <w:sz w:val="32"/>
          <w:szCs w:val="32"/>
        </w:rPr>
        <w:t xml:space="preserve"> Thoracic Surgery Core Curriculum Review Course - 2025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6,</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Intermountain Medical</w:t>
      </w:r>
      <w:r w:rsidRPr="0038080E">
        <w:rPr>
          <w:rFonts w:asciiTheme="minorHAnsi" w:hAnsiTheme="minorHAnsi" w:cstheme="minorHAnsi"/>
          <w:sz w:val="32"/>
          <w:szCs w:val="32"/>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Doty,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Ulysse (Lee) McCann 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Rami Alharethi,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Advisor-CareDx - 08/20/2025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(Bill) T. Caine,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R. Goff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 Griffin,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Jill Rhead, MA, CMI, FAMI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Shapiro,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Alpana Senapati, DO, FACC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J. Smit,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H. McKellar,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Read,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TeRia Baird,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Reilly D. Hobbs,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Vikas Sharma,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Knoper,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Stringham,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consultant-Intuitive Surgical - 09/02/2025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Abhishek Kashyap,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Nkem Aziken,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Billy Oslund,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Andrea Steely,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23.50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23.50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80977604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23.50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