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2025 Critical</w:t>
      </w:r>
      <w:r w:rsidRPr="0038080E">
        <w:rPr>
          <w:rFonts w:asciiTheme="minorHAnsi" w:hAnsiTheme="minorHAnsi" w:cstheme="minorHAnsi"/>
          <w:sz w:val="32"/>
          <w:szCs w:val="32"/>
        </w:rPr>
        <w:t xml:space="preserve"> Care Update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June 12,</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Park City</w:t>
      </w:r>
      <w:r w:rsidRPr="0038080E">
        <w:rPr>
          <w:rFonts w:asciiTheme="minorHAnsi" w:hAnsiTheme="minorHAnsi" w:cstheme="minorHAnsi"/>
          <w:sz w:val="32"/>
          <w:szCs w:val="32"/>
        </w:rPr>
        <w:t xml:space="preserve"> Hospital</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Nurse, Nurse Practitioner, Nurse-Clinical, Other Medical Personnel, Pharmacist, Respiratory Therapist,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Colin K. Grissom,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Ryoma Tanaka,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F. Crossno,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H. Edwards,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Bryce L. Ferguson,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Carrie M. Winberg, MSHA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Lindsay M. Leither,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R. Badke,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Jones, MHA,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Nick M. Murray,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7.50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7.50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62799962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7.50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7.50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7.50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750553768"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7.50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