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Radiologist Contrast</w:t>
      </w:r>
      <w:r w:rsidRPr="0038080E">
        <w:rPr>
          <w:rFonts w:asciiTheme="minorHAnsi" w:hAnsiTheme="minorHAnsi" w:cstheme="minorHAnsi"/>
          <w:sz w:val="32"/>
          <w:szCs w:val="32"/>
        </w:rPr>
        <w:t xml:space="preserve"> Reaction Simulation Training Course</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March 14,</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Hospital</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Nurse, Other Medical Personnel</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Dave Dansie,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Stacy Carpenter,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Dominique Vasquez,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Emilee Levin, BS, RT(R)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Joshua Covarrubias,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2B6BA7" w:rsidRPr="00E76912">
      <w:pPr>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1.50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1.50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39155010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1.50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