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Pediatric Trauma</w:t>
      </w:r>
      <w:r w:rsidRPr="0038080E">
        <w:rPr>
          <w:rFonts w:asciiTheme="minorHAnsi" w:hAnsiTheme="minorHAnsi" w:cstheme="minorHAnsi"/>
          <w:sz w:val="32"/>
          <w:szCs w:val="32"/>
        </w:rPr>
        <w:t xml:space="preserve"> Update</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April 25,</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Primary Children's</w:t>
      </w:r>
      <w:r w:rsidRPr="0038080E">
        <w:rPr>
          <w:rFonts w:asciiTheme="minorHAnsi" w:hAnsiTheme="minorHAnsi" w:cstheme="minorHAnsi"/>
          <w:sz w:val="32"/>
          <w:szCs w:val="32"/>
        </w:rPr>
        <w:t xml:space="preserve"> Hospital</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Non-Physician, Advanced Practice Provider, Nurse, Nurse Practitioner, Nurse-Clinical, Other Medical Personnel, Student, Physician Assistant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Connie L. Dangerfield,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Weber,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Kacey L. Barnes, MSN,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Gretchen Parker,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Keri Page,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Tricia Boulton,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Patricia Starks,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Kelsea Peterson,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A. Swendiman, MD, MPP, MSCE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Rajiv Iyer,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Skylar Meinhardt,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Tessa Vaschel,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Jordan Officer,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Kodi Hampton,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2B6BA7" w:rsidRPr="00E76912">
      <w:pPr>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3.75</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noProof/>
          <w:spacing w:val="-1"/>
        </w:rPr>
        <w:instrText>"</w:instrText>
      </w:r>
      <w:r w:rsidRPr="00741077" w:rsidR="002B71D7">
        <w:rPr>
          <w:rFonts w:ascii="Calibri" w:eastAsia="Calibri" w:hAnsi="Calibri"/>
          <w:noProof/>
          <w:spacing w:val="-1"/>
        </w:rPr>
        <w:instrText>Intermountain Health</w:instrText>
      </w:r>
      <w:r w:rsidRPr="00741077" w:rsidR="002B71D7">
        <w:rPr>
          <w:rFonts w:ascii="Calibri" w:eastAsia="Calibri" w:hAnsi="Calibri"/>
          <w:spacing w:val="-1"/>
        </w:rPr>
        <w:instrText>, Intermountain Children's Health, and the Department of Pediatrics at the University of Utah School of Medicine</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Intermountain Children's Health, and the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Intermountain Children's Health, and the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3.75</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54927396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D114DC">
        <w:rPr>
          <w:rFonts w:ascii="Calibri" w:eastAsia="Calibri" w:hAnsi="Calibri"/>
          <w:spacing w:val="-1"/>
        </w:rPr>
        <w:t>This activity has been planned and implemented in accordance with the accreditation requirements and policies of the Accreditation Council for Continuing Medical Education (ACCME) through the joint providership of</w:t>
      </w:r>
      <w:r w:rsidR="007113FF">
        <w:rPr>
          <w:rFonts w:ascii="Calibri" w:eastAsia="Calibri" w:hAnsi="Calibri"/>
          <w:spacing w:val="-1"/>
        </w:rPr>
        <w:t xml:space="preserve"> </w:t>
      </w:r>
      <w:r w:rsidR="007113FF">
        <w:rPr>
          <w:rFonts w:ascii="Calibri" w:eastAsia="Calibri" w:hAnsi="Calibri"/>
          <w:spacing w:val="-1"/>
        </w:rPr>
        <w:t>Intermountain Health, Intermountain Children's Health, and the Department of Pediatrics at the University of Utah School of Medicine</w:t>
      </w:r>
      <w:r w:rsidRPr="00741077" w:rsidR="00D114DC">
        <w:rPr>
          <w:rFonts w:ascii="Calibri" w:eastAsia="Calibri" w:hAnsi="Calibri"/>
          <w:spacing w:val="-1"/>
        </w:rPr>
        <w:t>. Intermountain Health is accredited by the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3.75</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