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32nd Annual</w:t>
      </w:r>
      <w:r w:rsidRPr="0038080E">
        <w:rPr>
          <w:rFonts w:asciiTheme="minorHAnsi" w:hAnsiTheme="minorHAnsi" w:cstheme="minorHAnsi"/>
          <w:sz w:val="32"/>
          <w:szCs w:val="32"/>
        </w:rPr>
        <w:t xml:space="preserve"> Issues in Pediatric Care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3,</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Nurse-Administrator, Other, 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Jonell Murray, MBA-HM,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Shelly Sorenson,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Brooke Hall, MSNEd,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 Chaulk,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Pavia, MD, FAAP, FACP, FIDSA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Fee-GlaxoSmithKline|Consulting Fee-Sanofi-Genzyme (Relationship has ended)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Reynolds, MS,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Kaylee Fauvell, MSN-Ed, RN, CPN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Soutter, BSN,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Smith,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Tracy Gillman,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Stewart, MSN, APRN, FNP-C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Bawden,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Irene Kocolas,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Reeves, BS, RPSGT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Fontenot,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Kenzie Kennedy, RCP, RRT, RRT-NPS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 Hochstein,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Johnson,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Kirti Sivakoti, MD, CPE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Jesika Chavez-England,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Stacy Allen, *None, Parent Advisor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Sue Meihls,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Hodgson, MS, MEd, CPHQ, PMP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instrText xml:space="preserve"> Intermountain </w:instrText>
      </w:r>
      <w:r>
        <w:rPr>
          <w:rFonts w:ascii="Calibri" w:eastAsia="Calibri" w:hAnsi="Calibri"/>
          <w:spacing w:val="-1"/>
        </w:rPr>
        <w:instrText>Health is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accredited as a provider of nursing continuing professional development by the</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American Nurses Credentialing Center’s Commission on Accreditation. This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activity is jointly provided by Intermountain Health, Intermountain Children's Health, and Department of Pediatrics at the University of the University of Utah School of Medicine.</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This live activity offers a</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maximum of 7.5*</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nursing contact hours.  Successful completion is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attending no less than 1 full session and claiming credit only for sessions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attended.</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*Credit hours are subject to change and based on actual learning hours and at the discretion of IPCE.</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E44EA6" w:rsidRPr="008962E1" w:rsidP="000B438D">
      <w:pPr>
        <w:tabs>
          <w:tab w:val="left" w:pos="360"/>
          <w:tab w:val="left" w:pos="720"/>
        </w:tabs>
        <w:ind w:left="360" w:right="662"/>
      </w:pP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t xml:space="preserve"> Intermountain </w:t>
      </w:r>
      <w:r>
        <w:rPr>
          <w:rFonts w:ascii="Calibri" w:eastAsia="Calibri" w:hAnsi="Calibri"/>
          <w:spacing w:val="-1"/>
        </w:rPr>
        <w:t>Health is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accredited as a provider of nursing continuing professional development by the</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American Nurses Credentialing Center’s Commission on Accreditation. This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activity is jointly provided by Intermountain Health, Intermountain Children's Health, and Department of Pediatrics at the University of the University of Utah School of Medicine.</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This live activity offers a</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maximum of 7.5*</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nursing contact hours.  Successful completion is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attending no less than 1 full session and claiming credit only for sessions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attended.</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*Credit hours are subject to change and based on actual learning hours and at the discretion of IPCE.</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916576671"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