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 xml:space="preserve"> 6th </w:t>
      </w:r>
      <w:r w:rsidRPr="0038080E">
        <w:rPr>
          <w:rFonts w:asciiTheme="minorHAnsi" w:hAnsiTheme="minorHAnsi" w:cstheme="minorHAnsi"/>
          <w:sz w:val="32"/>
          <w:szCs w:val="32"/>
        </w:rPr>
        <w:t>Annual Adult and Pediatric Psychiatry Learning Symposium</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November 7,</w:t>
      </w:r>
      <w:r w:rsidRPr="0038080E">
        <w:rPr>
          <w:rFonts w:asciiTheme="minorHAnsi" w:hAnsiTheme="minorHAnsi" w:cstheme="minorHAnsi"/>
          <w:sz w:val="32"/>
          <w:szCs w:val="32"/>
        </w:rPr>
        <w:t xml:space="preserve"> 2024</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Primary Children's</w:t>
      </w:r>
      <w:r w:rsidRPr="0038080E">
        <w:rPr>
          <w:rFonts w:asciiTheme="minorHAnsi" w:hAnsiTheme="minorHAnsi" w:cstheme="minorHAnsi"/>
          <w:sz w:val="32"/>
          <w:szCs w:val="32"/>
        </w:rPr>
        <w:t xml:space="preserve"> Lehi</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Advanced Practice Provider, Nurse, Other Medical Personnel, Psychiatrist</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 W Holt,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Lisa L. Giles,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Bradley Prestwich,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J. Mendenhall,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Lisa M. Nichols,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Annie Allred, BA, CPC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Janelle Robinson, MBA, MHA, FACHE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Deirdre Caplin, PhD,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Theresa Kurtz,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Claire Gibson, MD, MSCR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Brooke Mastroianni,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Lynette Jordana, *None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Rich,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Summers, MPP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Jordan Sorenson,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 Eliason,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- 09/06/2024</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5.50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instrText>"</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instrText>Intermountain Health is accredited by the Accreditation Council for Continuing Medical Education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5.50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16748733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t>Intermountain Health is accredited by the Accreditation Council for Continuing Medical Education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5.50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0.00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spacing w:val="-1"/>
        </w:rPr>
        <w:fldChar w:fldCharType="begin"/>
      </w:r>
      <w:r w:rsidR="00E44EA6">
        <w:rPr>
          <w:rFonts w:ascii="Calibri" w:eastAsia="Calibri" w:hAnsi="Calibri"/>
          <w:spacing w:val="-1"/>
        </w:rPr>
        <w:instrText xml:space="preserve"> MERGEFIELD ANCCHoursMax \* MERGEFORMAT </w:instrText>
      </w:r>
      <w:r w:rsidR="00E44EA6">
        <w:rPr>
          <w:rFonts w:ascii="Calibri" w:eastAsia="Calibri" w:hAnsi="Calibri"/>
          <w:spacing w:val="-1"/>
        </w:rPr>
        <w:fldChar w:fldCharType="separate"/>
      </w:r>
      <w:r w:rsidR="00E44EA6">
        <w:rPr>
          <w:rFonts w:ascii="Calibri" w:eastAsia="Calibri" w:hAnsi="Calibri"/>
          <w:noProof/>
          <w:spacing w:val="-1"/>
        </w:rPr>
        <w:instrText>«ANCCHoursMax»</w:instrText>
      </w:r>
      <w:r w:rsidR="00E44EA6">
        <w:rPr>
          <w:rFonts w:ascii="Calibri" w:eastAsia="Calibri" w:hAnsi="Calibri"/>
          <w:spacing w:val="-1"/>
        </w:rPr>
        <w:fldChar w:fldCharType="end"/>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fldChar w:fldCharType="begin"/>
      </w:r>
      <w:r w:rsidR="008962E1">
        <w:rPr>
          <w:rFonts w:ascii="Calibri" w:eastAsia="Calibri" w:hAnsi="Calibri"/>
          <w:spacing w:val="-1"/>
        </w:rPr>
        <w:instrText xml:space="preserve"> MERGEFIELD JointProviderName \* MERGEFORMAT </w:instrText>
      </w:r>
      <w:r w:rsidR="008962E1">
        <w:rPr>
          <w:rFonts w:ascii="Calibri" w:eastAsia="Calibri" w:hAnsi="Calibri"/>
          <w:spacing w:val="-1"/>
        </w:rPr>
        <w:fldChar w:fldCharType="separate"/>
      </w:r>
      <w:r w:rsidR="008962E1">
        <w:rPr>
          <w:rFonts w:ascii="Calibri" w:eastAsia="Calibri" w:hAnsi="Calibri"/>
          <w:noProof/>
          <w:spacing w:val="-1"/>
        </w:rPr>
        <w:instrText>«JointProviderName»</w:instrText>
      </w:r>
      <w:r w:rsidR="008962E1">
        <w:rPr>
          <w:rFonts w:ascii="Calibri" w:eastAsia="Calibri" w:hAnsi="Calibri"/>
          <w:spacing w:val="-1"/>
        </w:rPr>
        <w:fldChar w:fldCharType="end"/>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noProof/>
          <w:spacing w:val="-1"/>
        </w:rPr>
        <w:instrText>False</w:instrText>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