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Michael J. Miescier, MD, MPH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 of Pediatrics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Eric W Glissmeyer,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 of Pediatrics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Cheryl Yang,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Professor, Pediatric Emergency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Emergency Department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Matthew D. Steimle, DO,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 of Pediatrics at the 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Emergency Department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Sasha Gordon, BS, RDMS, RVT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Sonographer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Stuti Das, MD, MSc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Fellow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Pediatric Emergency Medicine and Child Abuse Division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Kajsa Vlasic, MD, MPH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Fellow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Primary Children’s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Karla F. Vazquez De Jesus, MD, MBA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Pediatric Emergency Fellow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Matthew A Szadkowski,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default" r:id="rId5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AA36AA">
        <w:rPr>
          <w:rFonts w:ascii="Tahoma" w:hAnsi="Tahoma"/>
          <w:noProof/>
          <w:sz w:val="26"/>
          <w:szCs w:val="26"/>
        </w:rPr>
        <w:t>PEM POCUS</w:t>
      </w:r>
      <w:r w:rsidRPr="00884EA2">
        <w:rPr>
          <w:rFonts w:ascii="Tahoma" w:hAnsi="Tahoma"/>
          <w:sz w:val="26"/>
          <w:szCs w:val="26"/>
        </w:rPr>
        <w:t xml:space="preserve"> Bootcamp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July 17,</w:t>
      </w:r>
      <w:r w:rsidRPr="00884EA2">
        <w:rPr>
          <w:rFonts w:ascii="Tahoma" w:hAnsi="Tahoma"/>
        </w:rPr>
        <w:t xml:space="preserve"> 2024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9:00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Primary Children's</w:t>
      </w:r>
      <w:r w:rsidRPr="00884EA2">
        <w:rPr>
          <w:rFonts w:ascii="Tahoma" w:hAnsi="Tahoma"/>
        </w:rPr>
        <w:t xml:space="preserve"> Hospital Eccles Outpatient Center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Physician, Nurse, Nurse Practitioner, Other Medical Personnel, Student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Pediatric Emergency Medicine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Nurse, Nurse Practitioner, Other Medical Personnel, Student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Nurse, Nurse Practitioner, Other Medical Personnel, Student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Nurse, Nurse Practitioner, Other Medical Personnel, Student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>Pediatric Emergency</w:instrText>
      </w:r>
      <w:r w:rsidR="00FE4DFA">
        <w:rPr>
          <w:b w:val="0"/>
          <w:bCs w:val="0"/>
          <w:spacing w:val="-1"/>
        </w:rPr>
        <w:instrText xml:space="preserve"> Medicine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DD0724">
        <w:rPr>
          <w:b w:val="0"/>
          <w:bCs w:val="0"/>
          <w:spacing w:val="-1"/>
        </w:rPr>
        <w:instrText>Nurse, Nurse Practitioner, Other Medical Personnel, Student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Pediatric Emergency</w:instrText>
      </w:r>
      <w:r w:rsidR="00FE4DFA">
        <w:rPr>
          <w:b w:val="0"/>
          <w:bCs w:val="0"/>
          <w:spacing w:val="-1"/>
        </w:rPr>
        <w:instrText xml:space="preserve"> Medicine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Pediatric Emergency</w:instrText>
      </w:r>
      <w:r w:rsidR="00FE4DFA">
        <w:rPr>
          <w:b w:val="0"/>
          <w:bCs w:val="0"/>
          <w:spacing w:val="-1"/>
        </w:rPr>
        <w:instrText xml:space="preserve"> Medicine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AA36AA">
        <w:rPr>
          <w:b w:val="0"/>
          <w:bCs w:val="0"/>
          <w:noProof/>
          <w:spacing w:val="-1"/>
        </w:rPr>
        <w:t xml:space="preserve">Physician, </w:t>
      </w:r>
      <w:r w:rsidR="00FE4DFA">
        <w:rPr>
          <w:b w:val="0"/>
          <w:bCs w:val="0"/>
          <w:spacing w:val="-1"/>
        </w:rPr>
        <w:t>Nurse, Nurse Practitioner, Other Medical Personnel, Student</w:t>
      </w:r>
      <w:r w:rsidR="00AA36AA">
        <w:rPr>
          <w:b w:val="0"/>
          <w:bCs w:val="0"/>
          <w:noProof/>
          <w:spacing w:val="-1"/>
        </w:rPr>
        <w:t>Pediatric Emergency</w:t>
      </w:r>
      <w:r w:rsidR="00FE4DFA">
        <w:rPr>
          <w:b w:val="0"/>
          <w:bCs w:val="0"/>
          <w:spacing w:val="-1"/>
        </w:rPr>
        <w:t xml:space="preserve"> Medicine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 xml:space="preserve">1 Recognize what the I-AIM model is and how to use it. 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Discuss PEM POCUS knowledge and skill.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ANCCObjectives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«ANCCObjectives»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 w:rsid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"</w:instrText>
      </w:r>
      <w:r w:rsidR="00AA36AA">
        <w:rPr>
          <w:b w:val="0"/>
          <w:bCs w:val="0"/>
          <w:noProof/>
          <w:spacing w:val="-1"/>
        </w:rPr>
        <w:instrText>1 Recognize</w:instrText>
      </w:r>
      <w:r>
        <w:rPr>
          <w:b w:val="0"/>
          <w:bCs w:val="0"/>
          <w:spacing w:val="-1"/>
        </w:rPr>
        <w:instrText xml:space="preserve"> what the I-AIM model is and how to use it. 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b w:val="0"/>
          <w:bCs w:val="0"/>
          <w:spacing w:val="-1"/>
        </w:rPr>
        <w:instrText>2 Discuss PEM POCUS knowledge and skill.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instrText>1 Recognize</w:instrText>
      </w:r>
      <w:r>
        <w:rPr>
          <w:spacing w:val="-1"/>
        </w:rPr>
        <w:instrText xml:space="preserve"> what the I-AIM model is and how to use it. 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Discuss PEM POCUS knowledge and skill.</w:instrText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3A4421">
        <w:rPr>
          <w:b w:val="0"/>
          <w:bCs w:val="0"/>
          <w:spacing w:val="-1"/>
        </w:rPr>
        <w:t>After completing this educational activity, participants should be able to:</w: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t>1 Recognize</w:t>
      </w:r>
      <w:r>
        <w:rPr>
          <w:spacing w:val="-1"/>
        </w:rPr>
        <w:t xml:space="preserve"> what the I-AIM model is and how to use it. </w: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2 Discuss PEM POCUS knowledge and skill.</w:t>
      </w:r>
    </w:p>
    <w:p w:rsidR="003A4421" w:rsidP="003A4421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fldChar w:fldCharType="begin"/>
      </w:r>
      <w:r w:rsidRPr="00961108">
        <w:rPr>
          <w:spacing w:val="-1"/>
        </w:rPr>
        <w:instrText xml:space="preserve"> MERGEFIELD ANCCObjectives \* MERGEFORMAT </w:instrText>
      </w:r>
      <w:r w:rsidRPr="00961108">
        <w:rPr>
          <w:spacing w:val="-1"/>
        </w:rPr>
        <w:fldChar w:fldCharType="separate"/>
      </w:r>
      <w:r w:rsidR="00AA36AA">
        <w:rPr>
          <w:noProof/>
          <w:spacing w:val="-1"/>
        </w:rPr>
        <w:instrText>«ANCCObjectives»</w:instrText>
      </w:r>
      <w:r w:rsidRPr="00961108">
        <w:rPr>
          <w:spacing w:val="-1"/>
        </w:rPr>
        <w:fldChar w:fldCharType="end"/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7.50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>Intermountain Health, Intermountain Health Children's Services, and the Department of Pediatrics at the University of Utah School of Medicine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instrText>Intermountain Health, Intermountain Health Children's Services, and the Department of Pediatrics at the University of Utah School of Medicine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instrText>Intermountain Health, Intermountain Health Children's Services, and the Department of Pediatrics at the University of Utah School of Medicine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noProof/>
          <w:spacing w:val="-1"/>
        </w:rPr>
        <w:instrText>7.50</w:instrText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>
        <w:rPr>
          <w:rFonts w:ascii="Calibri" w:eastAsia="Calibri" w:hAnsi="Calibri"/>
          <w:spacing w:val="-1"/>
        </w:rPr>
        <w:instrText>" "</w:instrText>
      </w:r>
      <w:r w:rsidR="000103E9">
        <w:rPr>
          <w:rFonts w:ascii="Calibri" w:eastAsia="Calibri" w:hAnsi="Calibri"/>
          <w:spacing w:val="-1"/>
        </w:rPr>
        <w:fldChar w:fldCharType="begin"/>
      </w:r>
      <w:r w:rsidR="000103E9">
        <w:rPr>
          <w:rFonts w:ascii="Calibri" w:eastAsia="Calibri" w:hAnsi="Calibri"/>
          <w:spacing w:val="-1"/>
        </w:rPr>
        <w:instrText xml:space="preserve"> MERGEFIELD AccreditationStatement \* MERGEFORMAT </w:instrText>
      </w:r>
      <w:r w:rsidR="000103E9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«AccreditationStatement»</w:instrText>
      </w:r>
      <w:r w:rsidR="000103E9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57230410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D114DC">
        <w:rPr>
          <w:rFonts w:ascii="Calibri" w:eastAsia="Calibri" w:hAnsi="Calibri"/>
          <w:spacing w:val="-1"/>
        </w:rPr>
        <w:t>This activity has been planned and implemented in accordance with the accreditation requirements and policies of the Accreditation Council for Continuing Medical Education (ACCME) through the joint providership of</w:t>
      </w:r>
      <w:r w:rsidR="007113FF">
        <w:rPr>
          <w:rFonts w:ascii="Calibri" w:eastAsia="Calibri" w:hAnsi="Calibri"/>
          <w:spacing w:val="-1"/>
        </w:rPr>
        <w:t xml:space="preserve"> </w:t>
      </w:r>
      <w:r w:rsidR="007113FF">
        <w:rPr>
          <w:rFonts w:ascii="Calibri" w:eastAsia="Calibri" w:hAnsi="Calibri"/>
          <w:spacing w:val="-1"/>
        </w:rPr>
        <w:t>Intermountain Health, Intermountain Health Children's Services, and the Department of Pediatrics at the University of Utah School of Medicine</w:t>
      </w:r>
      <w:r w:rsidRPr="00741077" w:rsidR="00D114DC">
        <w:rPr>
          <w:rFonts w:ascii="Calibri" w:eastAsia="Calibri" w:hAnsi="Calibri"/>
          <w:spacing w:val="-1"/>
        </w:rPr>
        <w:t>. Intermountain Healthcare is accredited by the ACCME to provide continuing medical education for physicians.</w:t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t>AMA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Credit</w:t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741077">
        <w:rPr>
          <w:rFonts w:ascii="Calibri" w:eastAsia="Calibri" w:hAnsi="Calibri"/>
          <w:spacing w:val="-1"/>
        </w:rPr>
        <w:t xml:space="preserve">Intermountain Healthcare designates this live activity for a maximum of </w:t>
      </w:r>
      <w:r w:rsidRPr="00741077" w:rsidR="003A5BF0">
        <w:rPr>
          <w:rFonts w:ascii="Calibri" w:eastAsia="Calibri" w:hAnsi="Calibri"/>
          <w:noProof/>
          <w:spacing w:val="-1"/>
        </w:rPr>
        <w:t>7.50</w:t>
      </w:r>
      <w:r w:rsidRPr="00741077">
        <w:rPr>
          <w:rFonts w:ascii="Calibri" w:eastAsia="Calibri" w:hAnsi="Calibri"/>
          <w:spacing w:val="-1"/>
        </w:rPr>
        <w:t xml:space="preserve"> </w:t>
      </w:r>
      <w:r w:rsidRPr="00BF29FC">
        <w:rPr>
          <w:rFonts w:ascii="Calibri" w:eastAsia="Calibri" w:hAnsi="Calibri"/>
          <w:i/>
          <w:iCs/>
          <w:spacing w:val="-1"/>
        </w:rPr>
        <w:t xml:space="preserve">AMA PRA Category 1 </w:t>
      </w:r>
      <w:r w:rsidR="008E44C7">
        <w:rPr>
          <w:rFonts w:ascii="Calibri" w:eastAsia="Calibri" w:hAnsi="Calibri"/>
          <w:i/>
          <w:iCs/>
          <w:spacing w:val="-1"/>
        </w:rPr>
        <w:t>C</w:t>
      </w:r>
      <w:r w:rsidRPr="00BF29FC">
        <w:rPr>
          <w:rFonts w:ascii="Calibri" w:eastAsia="Calibri" w:hAnsi="Calibri"/>
          <w:i/>
          <w:iCs/>
          <w:spacing w:val="-1"/>
        </w:rPr>
        <w:t>redit(s).™</w:t>
      </w:r>
      <w:r w:rsidRPr="00741077">
        <w:rPr>
          <w:rFonts w:ascii="Calibri" w:eastAsia="Calibri" w:hAnsi="Calibri"/>
          <w:spacing w:val="-1"/>
        </w:rPr>
        <w:t xml:space="preserve">  Physicians should claim only the credit commensurate with the extent of their participation in the activity.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MERGEFIELD ANCCHoursMax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noProof/>
          <w:spacing w:val="-1"/>
        </w:rPr>
        <w:instrText>«ANCCHoursMax»</w:instrTex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«JointProviderName»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False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"</w:instrText>
      </w:r>
      <w:r w:rsidR="00AA36AA">
        <w:rPr>
          <w:noProof/>
          <w:spacing w:val="-1"/>
        </w:rPr>
        <w:instrText>GE Healthcare</w:instrText>
      </w:r>
      <w:r w:rsidRPr="00741077">
        <w:rPr>
          <w:spacing w:val="-1"/>
        </w:rPr>
        <w:instrText xml:space="preserve"> Ultrasound Machines - GE Healthcare</w:instrTex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="00AA36AA">
        <w:rPr>
          <w:noProof/>
          <w:spacing w:val="-1"/>
        </w:rPr>
        <w:instrText>GE Healthcare</w:instrText>
      </w:r>
      <w:r w:rsidRPr="00741077">
        <w:rPr>
          <w:spacing w:val="-1"/>
        </w:rPr>
        <w:instrText xml:space="preserve"> Ultrasound Machines - GE Healthcare</w:instrTex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t>GE Healthcare</w:t>
      </w:r>
      <w:r w:rsidRPr="00741077">
        <w:rPr>
          <w:spacing w:val="-1"/>
        </w:rPr>
        <w:t xml:space="preserve"> Ultrasound Machines - GE Healthcare</w:t>
      </w:r>
    </w:p>
    <w:p w:rsidRPr="00741077" w:rsidP="00665A0F">
      <w:pPr>
        <w:pStyle w:val="BodyText"/>
        <w:ind w:left="360" w:right="663"/>
        <w:rPr>
          <w:spacing w:val="-1"/>
        </w:rPr>
      </w:pP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«CoordinatorPhone»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>
        <w:fldChar w:fldCharType="begin"/>
      </w:r>
      <w:r>
        <w:instrText xml:space="preserve"> MERGEFIELD CoordinatorEmail \* MERGEFORMAT </w:instrText>
      </w:r>
      <w:r>
        <w:fldChar w:fldCharType="separate"/>
      </w:r>
      <w:r w:rsidRPr="00AA36AA">
        <w:rPr>
          <w:b w:val="0"/>
          <w:bCs w:val="0"/>
          <w:noProof/>
        </w:rPr>
        <w:instrText>«CoordinatorEmail»</w:instrText>
      </w:r>
      <w:r w:rsidRPr="00AA36AA">
        <w:rPr>
          <w:b w:val="0"/>
          <w:bCs w:val="0"/>
          <w:noProof/>
        </w:rPr>
        <w:fldChar w:fldCharType="end"/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="000E64EC"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7.50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noProof/>
          <w:spacing w:val="-1"/>
        </w:rPr>
        <w:instrText>0.00</w:instrText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t>Accreditation Council for Continuing Medical Education (ACCME)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7.50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noProof/>
          <w:spacing w:val="-1"/>
        </w:rPr>
        <w:instrText>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>
        <w:rPr>
          <w:spacing w:val="-1"/>
        </w:rPr>
        <w:t>ACCME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J. Miescier,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W Glissmeyer,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Cheryl Yang,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D. Steimle, DO,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Sasha Gordon, BS, RDMS, RVT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Fee-GE Healthcare - 04/05/2024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Stuti Das, MD, MSc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Kajsa Vlasic,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Karla F. Vazquez De Jesus, MD,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A Szadkowski,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- 03/14/2024</w:t>
            </w:r>
          </w:p>
        </w:tc>
      </w:tr>
    </w:tbl>
    <w:p w:rsidR="003A5010" w:rsidRPr="00741077">
      <w:pPr>
        <w:bidi w:val="0"/>
        <w:spacing w:after="280" w:afterAutospacing="1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1990725" cy="898172"/>
          <wp:effectExtent l="0" t="0" r="0" b="0"/>
          <wp:docPr id="20960664" name="Picture 1" descr="A logo of a perso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664" name="Picture 1" descr="A logo of a person with a black background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363" cy="91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1a4512-8026-4a73-bfb7-8d52c1779a3a}" enabled="1" method="Privileged" siteId="{a79016de-bdd0-4e47-91f4-79416ab912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Jacob Shaw</cp:lastModifiedBy>
  <cp:revision>2</cp:revision>
  <dcterms:created xsi:type="dcterms:W3CDTF">2024-07-16T18:46:00Z</dcterms:created>
  <dcterms:modified xsi:type="dcterms:W3CDTF">2024-07-16T18:46:00Z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