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6th Annual</w:t>
      </w:r>
      <w:r w:rsidRPr="0038080E">
        <w:rPr>
          <w:rFonts w:asciiTheme="minorHAnsi" w:hAnsiTheme="minorHAnsi" w:cstheme="minorHAnsi"/>
          <w:sz w:val="32"/>
          <w:szCs w:val="32"/>
        </w:rPr>
        <w:t xml:space="preserve"> Update in Diabetes and Endocrinology</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6,</w:t>
      </w:r>
      <w:r w:rsidRPr="0038080E">
        <w:rPr>
          <w:rFonts w:asciiTheme="minorHAnsi" w:hAnsiTheme="minorHAnsi" w:cstheme="minorHAnsi"/>
          <w:sz w:val="32"/>
          <w:szCs w:val="32"/>
        </w:rPr>
        <w:t xml:space="preserve"> 2023</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Dietitian, Health Professional , Medical Assistant, Nurse, Nurse Practitioner, Nurse-Administrator, Other Medical Personnel, Pharmacist, Podiatrist, Social Worker, Clinical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Merin Kinikini, DNP, RD, CNSC, IFMCP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Bureau-Kate Farms|Speakers Bureau-Fresenius Kabi - 09/29/2023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Kelsey M. DeSalvo,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Hays,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"Betsy" Batcher,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"Dez" Small, PharmD, CDCES, BCACP, BC-ADM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Angela Sutt,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Bassett,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Trisha Martinez, MBA-HM,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Hayden James, MA, RDN, CSSD, CD, CDCES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Miriam C Padilla,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Bureau-AstraZeneca|Speakers Bureau-Medtronic - 06/01/2023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Jodi Dawson,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Craven,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Katrina Ubell,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Nordgren,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- 10/04/2023</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8969914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910558990"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6.25</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6.25</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6.25</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0.625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6.25</w:t>
      </w:r>
      <w:r>
        <w:rPr>
          <w:rFonts w:ascii="Calibri" w:hAnsi="Calibri" w:cs="Arial"/>
        </w:rPr>
        <w:t xml:space="preserve"> hour</w:t>
      </w:r>
      <w:r w:rsidRPr="008178B2">
        <w:rPr>
          <w:rFonts w:ascii="Calibri" w:hAnsi="Calibri" w:cs="Arial"/>
        </w:rPr>
        <w:t xml:space="preserve"> (</w:t>
      </w:r>
      <w:r w:rsidR="005D1175">
        <w:rPr>
          <w:rFonts w:ascii="Calibri" w:hAnsi="Calibri" w:cs="Arial"/>
        </w:rPr>
        <w:t>0.625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3966074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 Intermountain Health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