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Kristine A. Campbell, MD, MSc,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Martha Monson, MD, MSCI, FACOG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Clinical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Dinah Weldon, MPA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Director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Primary Children's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Carolyn Reynolds, MS, APRN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Clinical Executive Director - Pediatric CBC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Amanda D. Orme, DNP, FNP-C, CPNP-AC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Mrs.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Health/Primary Children's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Orley E Bills, MSW, LCSW, ACHP-SW, C-SWHC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Pediatric Palliative Care Social Worker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Primary Children's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Erin M. Avondet,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Daniel R Liljenquist, JD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Chief Strategy Officer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Jane Sims, BA, Certified Health Literacy Specialist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Manager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Jean F. Botha, MD, FACS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Physician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Medical Center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Joshua L. Bonkowsky, MD, PhD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Quang-Tuyen T. Nguyen, MD,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Vice Chair, JEDI6, 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Corinne R. Espinoza, PhD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Abbey J. Bentley, MSN, APRN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Pediatric Nurse Practitioner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Emily Minges, BS, CCLS II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Child Life Specialist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Sarah J Eyberg,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106802">
      <w:pPr>
        <w:rPr>
          <w:rFonts w:ascii="Tahoma"/>
          <w:b/>
          <w:spacing w:val="-1"/>
          <w:sz w:val="16"/>
        </w:rPr>
      </w:pP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="00AA36AA">
        <w:rPr>
          <w:rFonts w:ascii="Tahoma" w:hAnsi="Tahoma"/>
          <w:noProof/>
          <w:sz w:val="26"/>
          <w:szCs w:val="26"/>
        </w:rPr>
        <w:t>31st Annual</w:t>
      </w:r>
      <w:r w:rsidRPr="00884EA2">
        <w:rPr>
          <w:rFonts w:ascii="Tahoma" w:hAnsi="Tahoma"/>
          <w:sz w:val="26"/>
          <w:szCs w:val="26"/>
        </w:rPr>
        <w:t xml:space="preserve"> Issues in Pediatric Care Conference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December 7,</w:t>
      </w:r>
      <w:r w:rsidRPr="00884EA2">
        <w:rPr>
          <w:rFonts w:ascii="Tahoma" w:hAnsi="Tahoma"/>
        </w:rPr>
        <w:t xml:space="preserve"> 2023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7:00</w:t>
      </w:r>
      <w:r w:rsidRPr="00884EA2">
        <w:rPr>
          <w:rFonts w:ascii="Tahoma" w:hAnsi="Tahoma"/>
        </w:rPr>
        <w:t xml:space="preserve"> AM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Primary Children's</w:t>
      </w:r>
      <w:r w:rsidRPr="00884EA2">
        <w:rPr>
          <w:rFonts w:ascii="Tahoma" w:hAnsi="Tahoma"/>
        </w:rPr>
        <w:t xml:space="preserve"> Hospital</w:t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Nurse, Nurse-Administrator, Other, Other Medical Personnel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Pediatrics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Pr="00BC52AD">
        <w:rPr>
          <w:b w:val="0"/>
          <w:bCs w:val="0"/>
          <w:spacing w:val="-1"/>
        </w:rPr>
        <w:instrText>2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Nurse, </w:instrText>
      </w:r>
      <w:r w:rsidR="00FE4DFA">
        <w:rPr>
          <w:b w:val="0"/>
          <w:bCs w:val="0"/>
          <w:spacing w:val="-1"/>
        </w:rPr>
        <w:instrText>Nurse-Administrator, Other, Other Medical Personnel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>
        <w:rPr>
          <w:b w:val="0"/>
          <w:bCs w:val="0"/>
          <w:noProof/>
          <w:spacing w:val="-1"/>
        </w:rPr>
        <w:instrText xml:space="preserve">Nurse, </w:instrText>
      </w:r>
      <w:r w:rsidR="00FE4DFA">
        <w:rPr>
          <w:b w:val="0"/>
          <w:bCs w:val="0"/>
          <w:spacing w:val="-1"/>
        </w:rPr>
        <w:instrText>Nurse-Administrator, Other, Other Medical Personnel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Nurse, </w:instrText>
      </w:r>
      <w:r w:rsidR="00FE4DFA">
        <w:rPr>
          <w:b w:val="0"/>
          <w:bCs w:val="0"/>
          <w:spacing w:val="-1"/>
        </w:rPr>
        <w:instrText>Nurse-Administrator, Other, Other Medical Personnel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Nurse, </w:instrText>
      </w:r>
      <w:r w:rsidR="00DD0724">
        <w:rPr>
          <w:b w:val="0"/>
          <w:bCs w:val="0"/>
          <w:spacing w:val="-1"/>
        </w:rPr>
        <w:instrText>Nurse-Administrator, Other, Other Medical Personnel</w:instrText>
      </w:r>
      <w:r w:rsidR="00DD0724">
        <w:rPr>
          <w:b w:val="0"/>
          <w:bCs w:val="0"/>
          <w:spacing w:val="-1"/>
        </w:rPr>
        <w:instrText>"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/>
          <w:bCs w:val="0"/>
          <w:spacing w:val="-1"/>
        </w:rPr>
        <w:instrText>!Syntax Error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t>Target Audience</w:t>
      </w:r>
    </w:p>
    <w:p w:rsidR="00BC52AD">
      <w:pPr>
        <w:pStyle w:val="Heading2"/>
        <w:ind w:left="140" w:right="663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 xml:space="preserve">This program has been designed for the following </w:t>
      </w:r>
      <w:r w:rsidR="00C722C2">
        <w:rPr>
          <w:b w:val="0"/>
          <w:bCs w:val="0"/>
          <w:spacing w:val="-1"/>
        </w:rPr>
        <w:t xml:space="preserve">professions and practice areas: </w:t>
      </w:r>
      <w:r w:rsidR="00AA36AA">
        <w:rPr>
          <w:b w:val="0"/>
          <w:bCs w:val="0"/>
          <w:noProof/>
          <w:spacing w:val="-1"/>
        </w:rPr>
        <w:t xml:space="preserve">Nurse, </w:t>
      </w:r>
      <w:r w:rsidR="00FE4DFA">
        <w:rPr>
          <w:b w:val="0"/>
          <w:bCs w:val="0"/>
          <w:spacing w:val="-1"/>
        </w:rPr>
        <w:t>Nurse-Administrator, Other, Other Medical Personnel</w:t>
      </w:r>
      <w:r w:rsidR="00AA36AA">
        <w:rPr>
          <w:b w:val="0"/>
          <w:bCs w:val="0"/>
          <w:noProof/>
          <w:spacing w:val="-1"/>
        </w:rPr>
        <w:t>Pediatrics</w:t>
      </w:r>
      <w:r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1 Participants will self-report an increase in their knowledge regarding current issues in pediatric healthcare and approaches to implementation of best practices in the care of pediatric patients.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Participants will self-report one change they will make to their practice or performance as a result of this educational event.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 w:rsid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Objectives \* MERGEFORMAT </w:instrText>
      </w:r>
      <w:r>
        <w:rPr>
          <w:spacing w:val="-1"/>
        </w:rPr>
        <w:fldChar w:fldCharType="separate"/>
      </w:r>
      <w:r w:rsidR="00AA36AA">
        <w:rPr>
          <w:noProof/>
          <w:spacing w:val="-1"/>
        </w:rPr>
        <w:instrText>«Objectives»</w:instrText>
      </w:r>
      <w:r>
        <w:rPr>
          <w:spacing w:val="-1"/>
        </w:rPr>
        <w:fldChar w:fldCharType="end"/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spacing w:val="-1"/>
        </w:rPr>
        <w:fldChar w:fldCharType="end"/>
      </w:r>
      <w:r w:rsidR="00961108">
        <w:rPr>
          <w:b w:val="0"/>
          <w:bCs w:val="0"/>
          <w:spacing w:val="-1"/>
        </w:rPr>
        <w:fldChar w:fldCharType="begin"/>
      </w:r>
      <w:r w:rsidR="00961108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>1 Participants</w:instrText>
      </w:r>
      <w:r w:rsidR="00961108">
        <w:rPr>
          <w:b w:val="0"/>
          <w:bCs w:val="0"/>
          <w:spacing w:val="-1"/>
        </w:rPr>
        <w:instrText xml:space="preserve"> will self-report an increase in their knowledge regarding current issues in pediatric healthcare and approaches to implementation of best practices in the care of pediatric patients.</w:instrText>
      </w: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 w:rsidR="00961108">
        <w:rPr>
          <w:b w:val="0"/>
          <w:bCs w:val="0"/>
          <w:spacing w:val="-1"/>
        </w:rPr>
        <w:instrText>2 Participants will self-report one change they will make to their practice or performance as a result of this educational event.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="00AA36AA">
        <w:rPr>
          <w:noProof/>
          <w:spacing w:val="-1"/>
        </w:rPr>
        <w:instrText>1 Participants</w:instrText>
      </w:r>
      <w:r w:rsidRPr="00961108">
        <w:rPr>
          <w:spacing w:val="-1"/>
        </w:rPr>
        <w:instrText xml:space="preserve"> will self-report an increase in their knowledge regarding current issues in pediatric healthcare and approaches to implementation of best practices in the care of pediatric patients.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instrText>2 Participants will self-report one change they will make to their practice or performance as a result of this educational event.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961108">
        <w:rPr>
          <w:b w:val="0"/>
          <w:bCs w:val="0"/>
          <w:spacing w:val="-1"/>
        </w:rPr>
        <w:t>After completing this educational activity, nurses should be able to: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="00AA36AA">
        <w:rPr>
          <w:noProof/>
          <w:spacing w:val="-1"/>
        </w:rPr>
        <w:t>1 Participants</w:t>
      </w:r>
      <w:r w:rsidRPr="00961108">
        <w:rPr>
          <w:spacing w:val="-1"/>
        </w:rPr>
        <w:t xml:space="preserve"> will self-report an increase in their knowledge regarding current issues in pediatric healthcare and approaches to implementation of best practices in the care of pediatric patients.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t>2 Participants will self-report one change they will make to their practice or performance as a result of this educational event.</w: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P="003A4421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 w:rsidR="00AA36AA">
        <w:rPr>
          <w:b w:val="0"/>
          <w:bCs w:val="0"/>
          <w:noProof/>
        </w:rPr>
        <w:instrText>0.00</w:instrText>
      </w:r>
      <w:r w:rsidRPr="00C060DB" w:rsidR="00A335B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IF 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MERGEFIELD PharmObjectives \* MERGEFORMAT </w:instrText>
      </w:r>
      <w:r w:rsidRPr="00C060DB" w:rsidR="00A335BB">
        <w:rPr>
          <w:b w:val="0"/>
          <w:bCs w:val="0"/>
        </w:rPr>
        <w:fldChar w:fldCharType="separate"/>
      </w:r>
      <w:r w:rsidRPr="00C060DB" w:rsidR="00A335BB">
        <w:rPr>
          <w:b w:val="0"/>
          <w:bCs w:val="0"/>
          <w:noProof/>
        </w:rPr>
        <w:instrText>«PharmObjectives»</w:instrText>
      </w:r>
      <w:r w:rsidRPr="00C060DB" w:rsidR="00A335BB">
        <w:rPr>
          <w:b w:val="0"/>
          <w:bCs w:val="0"/>
        </w:rPr>
        <w:fldChar w:fldCharType="end"/>
      </w:r>
      <w:r w:rsidRPr="00C060DB" w:rsidR="00A335B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>
        <w:fldChar w:fldCharType="begin"/>
      </w:r>
      <w:r>
        <w:instrText xml:space="preserve"> MERGEFIELD PharmTechObjectives \* MERGEFORMAT </w:instrText>
      </w:r>
      <w:r>
        <w:fldChar w:fldCharType="separate"/>
      </w:r>
      <w:r w:rsidRPr="00C060DB">
        <w:rPr>
          <w:noProof/>
        </w:rPr>
        <w:instrText>«PharmTechObjectives»</w:instrText>
      </w:r>
      <w:r w:rsidRPr="00C060DB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0.00</w:instrText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MERGEFIELD JointProviderName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2B71D7">
        <w:rPr>
          <w:rFonts w:ascii="Calibri" w:eastAsia="Calibri" w:hAnsi="Calibri"/>
          <w:noProof/>
          <w:spacing w:val="-1"/>
        </w:rPr>
        <w:instrText>«JointProviderName»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AA36AA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noProof/>
          <w:spacing w:val="-1"/>
        </w:rPr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spacing w:val="-1"/>
        </w:rPr>
        <w:fldChar w:fldCharType="begin"/>
      </w:r>
      <w:r w:rsidRPr="00741077" w:rsidR="003A5BF0">
        <w:rPr>
          <w:rFonts w:ascii="Calibri" w:eastAsia="Calibri" w:hAnsi="Calibri"/>
          <w:spacing w:val="-1"/>
        </w:rPr>
        <w:instrText xml:space="preserve"> MERGEFIELD AMAHoursMax \* MERGEFORMAT </w:instrText>
      </w:r>
      <w:r w:rsidRPr="00741077" w:rsidR="003A5BF0">
        <w:rPr>
          <w:rFonts w:ascii="Calibri" w:eastAsia="Calibri" w:hAnsi="Calibri"/>
          <w:spacing w:val="-1"/>
        </w:rPr>
        <w:fldChar w:fldCharType="separate"/>
      </w:r>
      <w:r w:rsidRPr="00741077" w:rsidR="003A5BF0">
        <w:rPr>
          <w:rFonts w:ascii="Calibri" w:eastAsia="Calibri" w:hAnsi="Calibri"/>
          <w:noProof/>
          <w:spacing w:val="-1"/>
        </w:rPr>
        <w:instrText>«AMAHoursMax»</w:instrText>
      </w:r>
      <w:r w:rsidRPr="00741077" w:rsidR="003A5BF0">
        <w:rPr>
          <w:rFonts w:ascii="Calibri" w:eastAsia="Calibri" w:hAnsi="Calibri"/>
          <w:spacing w:val="-1"/>
        </w:rPr>
        <w:fldChar w:fldCharType="end"/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 w:rsidR="00E44EA6">
        <w:rPr>
          <w:rFonts w:ascii="Calibri" w:eastAsia="Calibri" w:hAnsi="Calibri"/>
          <w:spacing w:val="-1"/>
        </w:rPr>
        <w:instrText>" "</w:instrText>
      </w:r>
    </w:p>
    <w:p w:rsidR="00AA36AA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noProof/>
          <w:spacing w:val="-1"/>
        </w:rPr>
      </w:pPr>
      <w:r>
        <w:rPr>
          <w:rFonts w:ascii="Calibri" w:eastAsia="Calibri" w:hAnsi="Calibri"/>
          <w:noProof/>
          <w:spacing w:val="-1"/>
        </w:rPr>
        <w:instrText> Intermountain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Healthcare is accredited as a provider of nursing continuing professional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development by the American Nurses Credentialing Center’s Commission on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Accreditation.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This activity is jointly provided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by Intermountain Healthcare and Primary Children's Hospital. This live activity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offers a maximum of 12.5* nursing contact hours. Successful completion is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attending no less than 1 full session and claiming credit only for sessions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 xml:space="preserve">attended. There is no commercial support being received for this event. </w:instrTex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instrText>*Credit hours are subject to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="000103E9">
        <w:rPr>
          <w:rFonts w:ascii="Calibri" w:eastAsia="Calibri" w:hAnsi="Calibri"/>
          <w:spacing w:val="-1"/>
        </w:rPr>
        <w:instrText>change and based on actual learning hours and at the discretion of IPCE.</w:instrText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</w:p>
    <w:p w:rsidR="00AA36AA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noProof/>
          <w:spacing w:val="-1"/>
        </w:rPr>
      </w:pPr>
      <w:r>
        <w:rPr>
          <w:rFonts w:ascii="Calibri" w:eastAsia="Calibri" w:hAnsi="Calibri"/>
          <w:noProof/>
          <w:spacing w:val="-1"/>
        </w:rPr>
        <w:t> Intermountain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Healthcare is accredited as a provider of nursing continuing professional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development by the American Nurses Credentialing Center’s Commission on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Accreditation.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This activity is jointly provided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by Intermountain Healthcare and Primary Children's Hospital. This live activity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offers a maximum of 12.5* nursing contact hours. Successful completion is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attending no less than 1 full session and claiming credit only for sessions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 xml:space="preserve">attended. There is no commercial support being received for this event. </w:t>
      </w: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</w:p>
    <w:p w:rsidR="000103E9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*Credit hours are subject to</w:t>
      </w:r>
    </w:p>
    <w:p w:rsidR="006A70D8" w:rsidRPr="00741077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="000103E9">
        <w:rPr>
          <w:rFonts w:ascii="Calibri" w:eastAsia="Calibri" w:hAnsi="Calibri"/>
          <w:spacing w:val="-1"/>
        </w:rPr>
        <w:t>change and based on actual learning hours and at the discretion of IPCE.</w:t>
      </w:r>
      <w:r w:rsidRPr="00741077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12.50</w:instrText>
      </w:r>
      <w:r w:rsidR="00E44EA6"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noProof/>
          <w:spacing w:val="-1"/>
        </w:rPr>
        <w:instrText>12.50</w:instrText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spacing w:val="-1"/>
        </w:rPr>
        <w:instrText>"</w:instrText>
      </w:r>
      <w:r w:rsidR="008962E1">
        <w:rPr>
          <w:rFonts w:ascii="Calibri" w:eastAsia="Calibri" w:hAnsi="Calibri"/>
          <w:spacing w:val="-1"/>
        </w:rPr>
        <w:instrText>"</w:instrText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t xml:space="preserve">  </w:t>
      </w:r>
      <w:r w:rsidRPr="00E44EA6">
        <w:rPr>
          <w:rFonts w:ascii="Calibri" w:eastAsia="Calibri" w:hAnsi="Calibri"/>
          <w:b/>
          <w:bCs/>
          <w:spacing w:val="-1"/>
        </w:rPr>
        <w:t>Nursing Accreditation</w: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435750829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t>Intermountain Healthcare is accredited as a provider of nursing continuing professional development by the American Nurses Credentialing Center's Commis</w:t>
      </w:r>
      <w:r w:rsidR="00220890">
        <w:rPr>
          <w:rFonts w:ascii="Calibri" w:eastAsia="Calibri" w:hAnsi="Calibri"/>
          <w:spacing w:val="-1"/>
        </w:rPr>
        <w:t>s</w:t>
      </w:r>
      <w:r w:rsidR="00E44EA6">
        <w:rPr>
          <w:rFonts w:ascii="Calibri" w:eastAsia="Calibri" w:hAnsi="Calibri"/>
          <w:spacing w:val="-1"/>
        </w:rPr>
        <w:t>ion on Accreditation.  This live activity offers</w:t>
      </w:r>
      <w:r w:rsidR="00D404D7">
        <w:rPr>
          <w:rFonts w:ascii="Calibri" w:eastAsia="Calibri" w:hAnsi="Calibri"/>
          <w:spacing w:val="-1"/>
        </w:rPr>
        <w:t xml:space="preserve"> a maximum of</w:t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noProof/>
          <w:spacing w:val="-1"/>
        </w:rPr>
        <w:t>12.50</w:t>
      </w:r>
      <w:r w:rsidR="00E44EA6">
        <w:rPr>
          <w:rFonts w:ascii="Calibri" w:eastAsia="Calibri" w:hAnsi="Calibri"/>
          <w:spacing w:val="-1"/>
        </w:rPr>
        <w:t xml:space="preserve"> nursing contact hours.</w:t>
      </w:r>
      <w:r w:rsidR="008962E1">
        <w:rPr>
          <w:rFonts w:ascii="Calibri" w:eastAsia="Calibri" w:hAnsi="Calibri"/>
          <w:spacing w:val="-1"/>
        </w:rPr>
        <w:t xml:space="preserve"> </w:t>
      </w:r>
      <w:r w:rsidR="008962E1">
        <w:rPr>
          <w:rFonts w:ascii="Calibri" w:eastAsia="Calibri" w:hAnsi="Calibri"/>
          <w:spacing w:val="-1"/>
        </w:rPr>
        <w:t xml:space="preserve"> Successful completion is attendance at the entire event</w:t>
      </w:r>
      <w:r w:rsidR="00770D1F">
        <w:rPr>
          <w:rFonts w:ascii="Calibri" w:eastAsia="Calibri" w:hAnsi="Calibri"/>
          <w:spacing w:val="-1"/>
        </w:rPr>
        <w:t>.</w: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 xml:space="preserve"> &lt;&gt; "" "</w:instrText>
      </w: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MERGEFIELD CommercialSupport \* MERGEFORMAT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instrText>«CommercialSupport»</w:instrText>
      </w:r>
      <w:r w:rsidRPr="00741077">
        <w:rPr>
          <w:spacing w:val="-1"/>
        </w:rPr>
        <w:fldChar w:fldCharType="end"/>
      </w: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Pr="00741077" w:rsidR="00E816A5">
        <w:rPr>
          <w:spacing w:val="-1"/>
        </w:rPr>
        <w:t>No</w:t>
      </w:r>
      <w:r w:rsidR="003C3E2B">
        <w:rPr>
          <w:spacing w:val="-1"/>
        </w:rPr>
        <w:t xml:space="preserve"> commercial support is being received for this event</w:t>
      </w: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"</w:instrText>
      </w:r>
      <w:r w:rsidR="00AA36AA">
        <w:rPr>
          <w:noProof/>
          <w:spacing w:val="-1"/>
        </w:rPr>
        <w:instrText>Daniel Reeves</w:instrText>
      </w:r>
      <w:r w:rsidR="00AA36AA">
        <w:rPr>
          <w:noProof/>
          <w:spacing w:val="-1"/>
        </w:rPr>
        <w:instrText>"</w:instrText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="00AA36AA">
        <w:rPr>
          <w:rFonts w:ascii="Calibri"/>
          <w:b/>
          <w:noProof/>
          <w:spacing w:val="-1"/>
          <w:sz w:val="24"/>
        </w:rPr>
        <w:instrText>Daniel Reeves</w:instrText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="00AA36AA">
        <w:rPr>
          <w:rFonts w:ascii="Calibri"/>
          <w:b/>
          <w:noProof/>
          <w:spacing w:val="-1"/>
          <w:sz w:val="24"/>
        </w:rPr>
        <w:instrText>(801)</w:instrText>
      </w:r>
      <w:r w:rsidRPr="00741077">
        <w:rPr>
          <w:rFonts w:ascii="Calibri"/>
          <w:b/>
          <w:spacing w:val="-1"/>
          <w:sz w:val="24"/>
        </w:rPr>
        <w:instrText xml:space="preserve"> 898-6213</w:instrText>
      </w:r>
    </w:p>
    <w:p w:rsidR="00AA36AA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 w:rsidRPr="00AA36AA">
        <w:rPr>
          <w:b w:val="0"/>
          <w:bCs w:val="0"/>
          <w:noProof/>
        </w:rPr>
        <w:instrText>Dan.Reeves</w:instrText>
      </w:r>
      <w:r w:rsidRPr="00AA36AA">
        <w:rPr>
          <w:b w:val="0"/>
          <w:bCs w:val="0"/>
          <w:noProof/>
        </w:rPr>
        <w:instrText>@imail.org</w:instrText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Pr="00741077" w:rsidR="00E816A5">
        <w:rPr>
          <w:spacing w:val="-1"/>
        </w:rPr>
        <w:t>For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more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information,</w:t>
      </w:r>
      <w:r w:rsidRPr="00741077" w:rsidR="00E816A5">
        <w:rPr>
          <w:spacing w:val="-5"/>
        </w:rPr>
        <w:t xml:space="preserve"> </w:t>
      </w:r>
      <w:r w:rsidRPr="00741077" w:rsidR="00E816A5">
        <w:rPr>
          <w:spacing w:val="-1"/>
        </w:rPr>
        <w:t>please</w:t>
      </w:r>
      <w:r w:rsidRPr="00741077" w:rsidR="00E816A5">
        <w:rPr>
          <w:spacing w:val="-5"/>
        </w:rPr>
        <w:t xml:space="preserve"> </w:t>
      </w:r>
      <w:r w:rsidRPr="00741077" w:rsidR="00E816A5">
        <w:rPr>
          <w:spacing w:val="-1"/>
        </w:rPr>
        <w:t>contact</w: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="00AA36AA">
        <w:rPr>
          <w:rFonts w:ascii="Calibri"/>
          <w:b/>
          <w:noProof/>
          <w:spacing w:val="-1"/>
          <w:sz w:val="24"/>
        </w:rPr>
        <w:t>Daniel Reeves</w:t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="00AA36AA">
        <w:rPr>
          <w:rFonts w:ascii="Calibri"/>
          <w:b/>
          <w:noProof/>
          <w:spacing w:val="-1"/>
          <w:sz w:val="24"/>
        </w:rPr>
        <w:t>(801)</w:t>
      </w:r>
      <w:r w:rsidRPr="00741077">
        <w:rPr>
          <w:rFonts w:ascii="Calibri"/>
          <w:b/>
          <w:spacing w:val="-1"/>
          <w:sz w:val="24"/>
        </w:rPr>
        <w:t xml:space="preserve"> 898-6213</w:t>
      </w:r>
    </w:p>
    <w:p w:rsidR="000E64EC">
      <w:pPr>
        <w:pStyle w:val="Heading2"/>
        <w:spacing w:before="55"/>
        <w:ind w:left="0" w:right="580"/>
        <w:jc w:val="right"/>
        <w:rPr>
          <w:rFonts w:ascii="Calibri" w:eastAsia="Calibri" w:hAnsi="Calibri"/>
          <w:b/>
          <w:bCs/>
          <w:spacing w:val="-1"/>
        </w:rPr>
      </w:pPr>
      <w:r w:rsidRPr="00AA36AA" w:rsidR="00AA36AA">
        <w:rPr>
          <w:b w:val="0"/>
          <w:bCs w:val="0"/>
          <w:noProof/>
        </w:rPr>
        <w:t>Dan.Reeves</w:t>
      </w:r>
      <w:r w:rsidRPr="00AA36AA" w:rsidR="00AA36AA">
        <w:rPr>
          <w:b w:val="0"/>
          <w:bCs w:val="0"/>
          <w:noProof/>
        </w:rPr>
        <w:t>@imail.org</w:t>
      </w:r>
      <w:r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0.00</w:instrText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MERGEFIELD ANCCHoursMax \* MERGEFORMAT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noProof/>
          <w:spacing w:val="-1"/>
        </w:rPr>
        <w:instrText>«ANCCHoursMax»</w:instrText>
      </w:r>
      <w:r w:rsidRPr="00741077" w:rsidR="00EE47AC">
        <w:rPr>
          <w:spacing w:val="-1"/>
        </w:rPr>
        <w:fldChar w:fldCharType="end"/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rFonts w:ascii="Calibri" w:eastAsia="Calibri" w:hAnsi="Calibri"/>
          <w:spacing w:val="-1"/>
        </w:rPr>
        <w:t xml:space="preserve"> American Nurses Credentialing Center’s Commission (ANCC)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0.00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MERGEFIELD ANCCHoursMax \* MERGEFORMAT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noProof/>
          <w:spacing w:val="-1"/>
        </w:rPr>
        <w:instrText>«ANCCHoursMax»</w:instrText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t>ANCC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9"/>
        <w:gridCol w:w="3279"/>
        <w:gridCol w:w="4372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Kristine A. Campbell, MD, MSc,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Martha Monson, MD, MSCI, FACOG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Keoppel, BSN,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Dinah Weldon, MPA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Carolyn Reynolds, MS,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D. Orme, DNP, FNP-C, CPNP-AC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Kaylee Fauvell, MSN-Ed, RN, CPN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Sharon Soutter, BSN, RN, NPD-BC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Rebecca Smith, BSN,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Dave Clegg, MBA-HM, RRT, RRT-NPS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Rebecca Bawden, BSN,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Orley E Bills III, MSW, LCSW, ACHP-SW, C-SWHC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Jesika Chavez-England, MSN, RN, NPD-BC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Erin M. Avondet,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 R Liljenquist,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Jamie Fontenot, MSN,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Jane Sims, BA, Certified Health Literacy Specialist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Jean F. Botha, MD, FACS 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L. Bonkowsky,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Stocks or stock options, excluding diversified mutual funds-Orchard|Independent Contractor (included contracted research)-Passage Bio|Independent Contractor (included contracted research)-SwanBio|Independent Contractor (included contracted research)-Takeda|Independent Contractor (included contracted research)-Sanofi|Independent Contractor (included contracted research)-Autobahn|Membership on Advisory Committees or Review Panels, Board Membership, etc.-Bluebird Bio|Membership on Advisory Committees or Review Panels, Board Membership, etc.-Calico|Membership on Advisory Committees or Review Panels, Board Membership, etc.-Denali|Consulting Fee-Neurogene (Relationship has ended) - 11/16/2023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Quang-Tuyen T. Nguyen,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Corinne R. Espinoza,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Abbey J. Bentley, MSN,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Minges, BS, CCLS II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J Eyberg,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- 11/15/2023</w:t>
            </w:r>
          </w:p>
        </w:tc>
      </w:tr>
    </w:tbl>
    <w:p w:rsidR="003A5010" w:rsidRPr="00741077">
      <w:pPr>
        <w:bidi w:val="0"/>
        <w:spacing w:after="280" w:afterAutospacing="1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p w:rsidR="00A10334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2301984" cy="541020"/>
          <wp:effectExtent l="0" t="0" r="0" b="508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@IPCE_H_3C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84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Browne, Tyler</cp:lastModifiedBy>
  <cp:revision>3</cp:revision>
  <dcterms:created xsi:type="dcterms:W3CDTF">2023-01-20T18:51:00Z</dcterms:created>
  <dcterms:modified xsi:type="dcterms:W3CDTF">2023-01-20T18:57:00Z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</Properties>
</file>