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106802" w:rsidP="00106802">
      <w:pPr>
        <w:contextualSpacing/>
        <w:jc w:val="right"/>
        <w:rPr>
          <w:rFonts w:ascii="Tahoma"/>
          <w:b/>
          <w:spacing w:val="-1"/>
          <w:sz w:val="28"/>
          <w:szCs w:val="28"/>
        </w:rPr>
      </w:pPr>
      <w:r>
        <w:rPr>
          <w:rFonts w:ascii="Tahoma"/>
          <w:b/>
          <w:spacing w:val="-1"/>
          <w:sz w:val="16"/>
        </w:rPr>
        <w:br w:type="column"/>
      </w:r>
    </w:p>
    <w:p w:rsidR="00106802" w:rsidP="00106802">
      <w:pPr>
        <w:pStyle w:val="Heading1"/>
        <w:contextualSpacing/>
        <w:jc w:val="right"/>
        <w:rPr>
          <w:rFonts w:ascii="Tahoma" w:hAnsi="Tahoma"/>
          <w:sz w:val="26"/>
          <w:szCs w:val="26"/>
        </w:rPr>
      </w:pPr>
    </w:p>
    <w:p w:rsidR="00106802" w:rsidP="00106802">
      <w:pPr>
        <w:pStyle w:val="Heading1"/>
        <w:rPr>
          <w:rFonts w:ascii="Tahoma" w:hAnsi="Tahoma"/>
          <w:sz w:val="26"/>
          <w:szCs w:val="26"/>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192944" w:rsidP="00884EA2">
      <w:pPr>
        <w:pStyle w:val="Heading1"/>
        <w:jc w:val="center"/>
        <w:rPr>
          <w:rFonts w:asciiTheme="minorHAnsi" w:hAnsiTheme="minorHAnsi" w:cstheme="minorHAnsi"/>
          <w:sz w:val="26"/>
          <w:szCs w:val="26"/>
        </w:rPr>
      </w:pPr>
      <w:r w:rsidRPr="00192944" w:rsidR="0095338C">
        <w:rPr>
          <w:rFonts w:asciiTheme="minorHAnsi" w:hAnsiTheme="minorHAnsi" w:cstheme="minorHAnsi"/>
          <w:noProof/>
          <w:sz w:val="26"/>
          <w:szCs w:val="26"/>
        </w:rPr>
        <w:t>4th Annual</w:t>
      </w:r>
      <w:r w:rsidRPr="00192944">
        <w:rPr>
          <w:rFonts w:asciiTheme="minorHAnsi" w:hAnsiTheme="minorHAnsi" w:cstheme="minorHAnsi"/>
          <w:sz w:val="26"/>
          <w:szCs w:val="26"/>
        </w:rPr>
        <w:t xml:space="preserve"> Update in Diabetes Care</w:t>
      </w:r>
    </w:p>
    <w:p w:rsidR="003A5010" w:rsidRPr="00192944" w:rsidP="00884EA2">
      <w:pPr>
        <w:pStyle w:val="Heading1"/>
        <w:jc w:val="center"/>
        <w:rPr>
          <w:rFonts w:asciiTheme="minorHAnsi" w:hAnsiTheme="minorHAnsi" w:cstheme="minorHAnsi"/>
        </w:rPr>
      </w:pPr>
      <w:r w:rsidRPr="00192944" w:rsidR="0095338C">
        <w:rPr>
          <w:rFonts w:asciiTheme="minorHAnsi" w:hAnsiTheme="minorHAnsi" w:cstheme="minorHAnsi"/>
          <w:noProof/>
        </w:rPr>
        <w:t>October 1,</w:t>
      </w:r>
      <w:r w:rsidRPr="00192944">
        <w:rPr>
          <w:rFonts w:asciiTheme="minorHAnsi" w:hAnsiTheme="minorHAnsi" w:cstheme="minorHAnsi"/>
        </w:rPr>
        <w:t xml:space="preserve"> 2021</w:t>
      </w:r>
    </w:p>
    <w:p w:rsidR="003A5010" w:rsidRPr="00192944" w:rsidP="00884EA2">
      <w:pPr>
        <w:pStyle w:val="Heading1"/>
        <w:jc w:val="center"/>
        <w:rPr>
          <w:rFonts w:asciiTheme="minorHAnsi" w:hAnsiTheme="minorHAnsi" w:cstheme="minorHAnsi"/>
        </w:rPr>
      </w:pPr>
      <w:r w:rsidRPr="00192944" w:rsidR="0095338C">
        <w:rPr>
          <w:rFonts w:asciiTheme="minorHAnsi" w:hAnsiTheme="minorHAnsi" w:cstheme="minorHAnsi"/>
          <w:noProof/>
        </w:rPr>
        <w:t>Utah Valley</w:t>
      </w:r>
      <w:r w:rsidRPr="00192944">
        <w:rPr>
          <w:rFonts w:asciiTheme="minorHAnsi" w:hAnsiTheme="minorHAnsi" w:cstheme="minorHAnsi"/>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Nurse, Nurse Practitioner, Nurse-Clinical, Other Medical Personnel, Pharmacist, Physician Assistant, Podiatrist,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Sebranek, PharmD, BCPS, BCGP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Kelsey M. DeSalvo,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W. 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 Interest-Tula Health - 09/14/2021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Joy, MD, MPH, FACSM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Hays,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"Betsy" Batcher,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"Dez" Small, PharmD, CDCES, BCACP, BC-ADM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Bradly D. Winter,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Cefalo, MDA, RDN, CDCES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Marianna Chandler, MBA, MPH,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Ly,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 Interest-Tandem Diabetes - 09/09/2021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Trisha Martinez, MBA-HM,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Chard D. Bubb,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- 05/21/2021</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75440815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w:instrText>
      </w:r>
      <w:r w:rsidR="008962E1">
        <w:rPr>
          <w:rFonts w:ascii="Calibri" w:eastAsia="Calibri" w:hAnsi="Calibri"/>
          <w:spacing w:val="-1"/>
        </w:rPr>
        <w:instrText xml:space="preserve">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06575525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6.50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6.50</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6.50</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6.50</w:t>
      </w:r>
      <w:r>
        <w:rPr>
          <w:rFonts w:ascii="Calibri" w:hAnsi="Calibri" w:cs="Arial"/>
        </w:rPr>
        <w:t xml:space="preserve"> hour</w:t>
      </w:r>
      <w:r w:rsidRPr="008178B2">
        <w:rPr>
          <w:rFonts w:ascii="Calibri" w:hAnsi="Calibri" w:cs="Arial"/>
        </w:rPr>
        <w:t xml:space="preserve"> (</w:t>
      </w:r>
      <w:r w:rsidR="005D1175">
        <w:rPr>
          <w:rFonts w:ascii="Calibri" w:hAnsi="Calibri" w:cs="Arial"/>
        </w:rPr>
        <w:t>0.65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1997033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 Intermountain Health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15</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7</cp:revision>
  <dcterms:created xsi:type="dcterms:W3CDTF">2024-07-25T14:08:00Z</dcterms:created>
  <dcterms:modified xsi:type="dcterms:W3CDTF">2024-07-25T14:29:00Z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